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B1" w:rsidRDefault="00A122B9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A122B9" w:rsidRDefault="00A122B9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</w:p>
    <w:p w:rsidR="00A122B9" w:rsidRDefault="00A122B9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A122B9" w:rsidRPr="002944E7" w:rsidRDefault="00A122B9" w:rsidP="006E32E1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E32E1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E32E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6E32E1">
        <w:rPr>
          <w:rFonts w:ascii="Times New Roman" w:hAnsi="Times New Roman" w:cs="Times New Roman"/>
          <w:sz w:val="28"/>
          <w:szCs w:val="28"/>
        </w:rPr>
        <w:t>276</w:t>
      </w:r>
    </w:p>
    <w:p w:rsidR="002944E7" w:rsidRPr="002944E7" w:rsidRDefault="002944E7" w:rsidP="00A122B9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17FF9" w:rsidRPr="002944E7" w:rsidRDefault="00417FF9" w:rsidP="002944E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417"/>
        <w:gridCol w:w="1418"/>
        <w:gridCol w:w="1417"/>
        <w:gridCol w:w="1418"/>
      </w:tblGrid>
      <w:tr w:rsidR="00BA0BB0" w:rsidRPr="00417FF9" w:rsidTr="00A122B9">
        <w:trPr>
          <w:trHeight w:val="229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0BB0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</w:t>
            </w: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6DB1" w:rsidRPr="00417FF9" w:rsidRDefault="00F86DB1" w:rsidP="00054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01.01.2013 по 3</w:t>
            </w:r>
            <w:r w:rsidR="00054F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054F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полугодие</w:t>
            </w:r>
          </w:p>
        </w:tc>
      </w:tr>
      <w:tr w:rsidR="00BA0BB0" w:rsidRPr="00417FF9" w:rsidTr="00A122B9">
        <w:trPr>
          <w:trHeight w:val="229"/>
          <w:tblHeader/>
        </w:trPr>
        <w:tc>
          <w:tcPr>
            <w:tcW w:w="8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Default="006342A1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09</w:t>
            </w:r>
            <w:r w:rsidR="00BA0BB0"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30.09.2013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01.10.203 по 31.12.2013</w:t>
            </w:r>
          </w:p>
        </w:tc>
      </w:tr>
      <w:tr w:rsidR="00BA0BB0" w:rsidRPr="00417FF9" w:rsidTr="00A122B9">
        <w:trPr>
          <w:trHeight w:val="308"/>
          <w:tblHeader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</w:tr>
      <w:tr w:rsidR="00BA0BB0" w:rsidRPr="00417FF9" w:rsidTr="00A122B9">
        <w:trPr>
          <w:trHeight w:val="33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A0BB0" w:rsidRPr="00417FF9" w:rsidRDefault="00BA0BB0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B0" w:rsidRPr="00417FF9" w:rsidRDefault="00BA0BB0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7FF9" w:rsidRPr="00417FF9" w:rsidTr="00D033DA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D033DA" w:rsidRPr="00417FF9" w:rsidTr="004B3458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пунктах 2 и 3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3DA" w:rsidRPr="00417FF9" w:rsidTr="00767533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3DA" w:rsidRPr="00417FF9" w:rsidTr="0079319F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3DA" w:rsidRPr="00417FF9" w:rsidTr="00D033DA">
        <w:trPr>
          <w:trHeight w:val="6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3DA" w:rsidRPr="00417FF9" w:rsidTr="00C230E7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A122B9" w:rsidP="00A1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FF9" w:rsidRPr="00A122B9" w:rsidRDefault="00705FB4" w:rsidP="009D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3DA" w:rsidRPr="00417FF9" w:rsidTr="00576FAB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033DA" w:rsidRPr="00417FF9" w:rsidRDefault="00D033DA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3DA" w:rsidRPr="00A122B9" w:rsidRDefault="00D033DA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86443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22B9" w:rsidRPr="00417FF9" w:rsidTr="0086443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2B9" w:rsidRPr="00417FF9" w:rsidTr="0086443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C1B" w:rsidRPr="00417FF9" w:rsidTr="00647804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проживающее в сельских населенных пунктах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417FF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03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7C1B" w:rsidRPr="00417FF9" w:rsidTr="0090049C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C1B" w:rsidRPr="00417FF9" w:rsidTr="009B4765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BD395E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22B9" w:rsidRPr="00417FF9" w:rsidTr="00BD395E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2B9" w:rsidRPr="00417FF9" w:rsidTr="00BD395E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C1B" w:rsidRPr="00417FF9" w:rsidTr="00DA3EFE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67C1B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C1B" w:rsidRPr="00A122B9" w:rsidRDefault="00867C1B" w:rsidP="00BA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(тарифы указываются с учетом НДС)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17FF9" w:rsidRPr="00417FF9" w:rsidTr="00A122B9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7FF9" w:rsidRPr="00417FF9" w:rsidRDefault="00867C1B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7FF9" w:rsidRPr="00417FF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FF9" w:rsidRPr="00A122B9" w:rsidRDefault="00417FF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FF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2B9" w:rsidRPr="00417FF9" w:rsidTr="00334BE9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2B9" w:rsidRPr="00417FF9" w:rsidTr="00A122B9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22B9" w:rsidRPr="00417FF9" w:rsidTr="00D139E2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122B9" w:rsidRPr="00417FF9" w:rsidTr="00F456FF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2B9" w:rsidRPr="00417FF9" w:rsidTr="00F456FF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2B9" w:rsidRPr="00417FF9" w:rsidTr="00F456FF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122B9" w:rsidRPr="00417FF9" w:rsidRDefault="00A122B9" w:rsidP="00D03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2B9" w:rsidRPr="00A122B9" w:rsidRDefault="00A122B9" w:rsidP="00BA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B9" w:rsidRPr="00A122B9" w:rsidRDefault="00A122B9" w:rsidP="00D7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22B9" w:rsidRPr="00A122B9" w:rsidRDefault="00705FB4" w:rsidP="00746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9D3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17FF9" w:rsidRDefault="00417FF9" w:rsidP="00BA0BB0">
      <w:pPr>
        <w:spacing w:after="0" w:line="240" w:lineRule="auto"/>
        <w:rPr>
          <w:rFonts w:ascii="Times New Roman" w:hAnsi="Times New Roman" w:cs="Times New Roman"/>
        </w:rPr>
      </w:pP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Примечание.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Данные тарифы применяются в отношении граждан, использующих электроэнергию на коммунально-бытовые нужды, а также приравненных к населению категорий потребителей, которым электрическая энергия (мощность) поставляется по регулируемым ценам (тарифам) в соответствии с пунктом 27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№20-э/2.</w:t>
      </w:r>
      <w:proofErr w:type="gramEnd"/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8" w:history="1">
        <w:r w:rsidRPr="00D408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</w:t>
        </w:r>
      </w:hyperlink>
      <w:r w:rsidRPr="00D40857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07.12.1998 № 1444 «Об основах ценообразования в отношении электрической энергии, потребляемой населением», применен понижающий коэффициент 0,7 для групп населения, проживающего в сельских населенных пунктах – пункт 3.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3. В соответствии с п. 71 Основ ценообразования в области регулируемых цен (тарифов) в электроэнергетике, утвержденных Постановлением Правительства РФ от 29.12.2011 №1178, применен понижающий коэффициент 0,7 для групп населения,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и (или) электроотопительными установками – пункт 2.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4. Электропотребление в местах общего пользования оплачивается по тарифу соответствующей группы населения и указанному в пунктах 1.1, 2 или 3.  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5. Интервалы тарифных зон суток ежегодно устанавливаются приказом ФСТ России. Пиковая зона в тарифе, дифференцированном по двум зонам суток, в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>. содержит время полупиковой зоны.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6. Пункт </w:t>
      </w:r>
      <w:r w:rsidR="000C2F61" w:rsidRPr="00D40857">
        <w:rPr>
          <w:rFonts w:ascii="Times New Roman" w:hAnsi="Times New Roman" w:cs="Times New Roman"/>
          <w:sz w:val="24"/>
          <w:szCs w:val="24"/>
        </w:rPr>
        <w:t>4</w:t>
      </w:r>
      <w:r w:rsidRPr="00D40857">
        <w:rPr>
          <w:rFonts w:ascii="Times New Roman" w:hAnsi="Times New Roman" w:cs="Times New Roman"/>
          <w:sz w:val="24"/>
          <w:szCs w:val="24"/>
        </w:rPr>
        <w:t xml:space="preserve"> применяется в отношении Перечня категорий потребителей, которые приравнены к населению и которым электрическая энергия (мощность) поставляется по регулируемым ценам (тарифам), утвержденного приказом ФСТ России от 31.12.2010 № 655-э (в редакции приказа ФСТ России от 15.06.2011 № 139-э/2):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</w:t>
      </w:r>
      <w:r w:rsidRPr="00D40857">
        <w:rPr>
          <w:rFonts w:ascii="Times New Roman" w:hAnsi="Times New Roman" w:cs="Times New Roman"/>
          <w:sz w:val="24"/>
          <w:szCs w:val="24"/>
        </w:rPr>
        <w:lastRenderedPageBreak/>
        <w:t>населения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 (применяются тарифы, установленные в пункте 1.1, 2 или 3, в зависимости от структуры фактического потребления приобретающих у них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 электрическую энергию потребителей-граждан); 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- юридические лица, в части приобретаемого объема электрической энергии (мощности) в целях потребления осужденными в помещениях для их содержания, при условии наличия раздельного учета для указанных помещений (применяются тарифы, установленные в пункте 1.1, 2 или 3, в зависимости от структуры фактического потребления приобретающих у них электрическую энергию потребителей-граждан);  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>- 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 (применяются тарифы, установленные в пункте 1.1, 2 или 1.3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содержащиеся за счет прихожан религиозные организации;</w:t>
      </w:r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- гарантирующие поставщики,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 (применяются тарифы, установленные в пункте 1.1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2 или 1.3,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8A25C8" w:rsidRPr="00D40857" w:rsidRDefault="008A25C8" w:rsidP="00CA5DD6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хозяйственные постройки физических лиц (погреба, сараи и иные сооружения аналогичного назначения);</w:t>
      </w:r>
    </w:p>
    <w:p w:rsidR="008A25C8" w:rsidRPr="00D40857" w:rsidRDefault="008A25C8" w:rsidP="00CA5DD6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sectPr w:rsidR="008A25C8" w:rsidRPr="00D40857" w:rsidSect="004768FF">
      <w:footerReference w:type="default" r:id="rId9"/>
      <w:pgSz w:w="11905" w:h="16838"/>
      <w:pgMar w:top="993" w:right="565" w:bottom="851" w:left="127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E7" w:rsidRDefault="004A11E7" w:rsidP="004768FF">
      <w:pPr>
        <w:spacing w:after="0" w:line="240" w:lineRule="auto"/>
      </w:pPr>
      <w:r>
        <w:separator/>
      </w:r>
    </w:p>
  </w:endnote>
  <w:endnote w:type="continuationSeparator" w:id="0">
    <w:p w:rsidR="004A11E7" w:rsidRDefault="004A11E7" w:rsidP="004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443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68FF" w:rsidRPr="00045AAB" w:rsidRDefault="004768FF">
        <w:pPr>
          <w:pStyle w:val="a7"/>
          <w:jc w:val="center"/>
          <w:rPr>
            <w:rFonts w:ascii="Times New Roman" w:hAnsi="Times New Roman" w:cs="Times New Roman"/>
          </w:rPr>
        </w:pPr>
        <w:r w:rsidRPr="00045AAB">
          <w:rPr>
            <w:rFonts w:ascii="Times New Roman" w:hAnsi="Times New Roman" w:cs="Times New Roman"/>
          </w:rPr>
          <w:fldChar w:fldCharType="begin"/>
        </w:r>
        <w:r w:rsidRPr="00045AAB">
          <w:rPr>
            <w:rFonts w:ascii="Times New Roman" w:hAnsi="Times New Roman" w:cs="Times New Roman"/>
          </w:rPr>
          <w:instrText>PAGE   \* MERGEFORMAT</w:instrText>
        </w:r>
        <w:r w:rsidRPr="00045AAB">
          <w:rPr>
            <w:rFonts w:ascii="Times New Roman" w:hAnsi="Times New Roman" w:cs="Times New Roman"/>
          </w:rPr>
          <w:fldChar w:fldCharType="separate"/>
        </w:r>
        <w:r w:rsidR="006E32E1">
          <w:rPr>
            <w:rFonts w:ascii="Times New Roman" w:hAnsi="Times New Roman" w:cs="Times New Roman"/>
            <w:noProof/>
          </w:rPr>
          <w:t>2</w:t>
        </w:r>
        <w:r w:rsidRPr="00045AAB">
          <w:rPr>
            <w:rFonts w:ascii="Times New Roman" w:hAnsi="Times New Roman" w:cs="Times New Roman"/>
          </w:rPr>
          <w:fldChar w:fldCharType="end"/>
        </w:r>
      </w:p>
    </w:sdtContent>
  </w:sdt>
  <w:p w:rsidR="004768FF" w:rsidRDefault="00476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E7" w:rsidRDefault="004A11E7" w:rsidP="004768FF">
      <w:pPr>
        <w:spacing w:after="0" w:line="240" w:lineRule="auto"/>
      </w:pPr>
      <w:r>
        <w:separator/>
      </w:r>
    </w:p>
  </w:footnote>
  <w:footnote w:type="continuationSeparator" w:id="0">
    <w:p w:rsidR="004A11E7" w:rsidRDefault="004A11E7" w:rsidP="0047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FC4"/>
    <w:multiLevelType w:val="multilevel"/>
    <w:tmpl w:val="C31CAB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77"/>
    <w:rsid w:val="00012F4D"/>
    <w:rsid w:val="00045AAB"/>
    <w:rsid w:val="00050291"/>
    <w:rsid w:val="00054FB0"/>
    <w:rsid w:val="00090CC0"/>
    <w:rsid w:val="000C2F61"/>
    <w:rsid w:val="00110649"/>
    <w:rsid w:val="00142977"/>
    <w:rsid w:val="0014564E"/>
    <w:rsid w:val="001A7244"/>
    <w:rsid w:val="002944E7"/>
    <w:rsid w:val="0038680E"/>
    <w:rsid w:val="003D5667"/>
    <w:rsid w:val="00417FF9"/>
    <w:rsid w:val="004768FF"/>
    <w:rsid w:val="004A11E7"/>
    <w:rsid w:val="00536B9C"/>
    <w:rsid w:val="006342A1"/>
    <w:rsid w:val="006E32E1"/>
    <w:rsid w:val="00705FB4"/>
    <w:rsid w:val="00746763"/>
    <w:rsid w:val="008426D3"/>
    <w:rsid w:val="00867C1B"/>
    <w:rsid w:val="008A25C8"/>
    <w:rsid w:val="00947428"/>
    <w:rsid w:val="009D34A7"/>
    <w:rsid w:val="00A122B9"/>
    <w:rsid w:val="00A47DAA"/>
    <w:rsid w:val="00AC27E0"/>
    <w:rsid w:val="00AE4709"/>
    <w:rsid w:val="00BA0BB0"/>
    <w:rsid w:val="00BA3438"/>
    <w:rsid w:val="00BC0016"/>
    <w:rsid w:val="00CA5DD6"/>
    <w:rsid w:val="00CF3A6D"/>
    <w:rsid w:val="00D033DA"/>
    <w:rsid w:val="00D40857"/>
    <w:rsid w:val="00E920B2"/>
    <w:rsid w:val="00F86DB1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7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9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2944E7"/>
    <w:pPr>
      <w:spacing w:before="120" w:after="0" w:line="360" w:lineRule="auto"/>
      <w:ind w:firstLine="680"/>
      <w:jc w:val="both"/>
    </w:pPr>
    <w:rPr>
      <w:rFonts w:ascii="TimesDL" w:eastAsia="Calibri" w:hAnsi="TimesDL" w:cs="TimesD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7DAA"/>
    <w:pPr>
      <w:ind w:left="720"/>
      <w:contextualSpacing/>
    </w:pPr>
  </w:style>
  <w:style w:type="character" w:styleId="a4">
    <w:name w:val="Hyperlink"/>
    <w:rsid w:val="008A25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8FF"/>
  </w:style>
  <w:style w:type="paragraph" w:styleId="a7">
    <w:name w:val="footer"/>
    <w:basedOn w:val="a"/>
    <w:link w:val="a8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8FF"/>
  </w:style>
  <w:style w:type="paragraph" w:styleId="a9">
    <w:name w:val="Balloon Text"/>
    <w:basedOn w:val="a"/>
    <w:link w:val="aa"/>
    <w:uiPriority w:val="99"/>
    <w:semiHidden/>
    <w:unhideWhenUsed/>
    <w:rsid w:val="004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17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94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2944E7"/>
    <w:pPr>
      <w:spacing w:before="120" w:after="0" w:line="360" w:lineRule="auto"/>
      <w:ind w:firstLine="680"/>
      <w:jc w:val="both"/>
    </w:pPr>
    <w:rPr>
      <w:rFonts w:ascii="TimesDL" w:eastAsia="Calibri" w:hAnsi="TimesDL" w:cs="TimesD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7DAA"/>
    <w:pPr>
      <w:ind w:left="720"/>
      <w:contextualSpacing/>
    </w:pPr>
  </w:style>
  <w:style w:type="character" w:styleId="a4">
    <w:name w:val="Hyperlink"/>
    <w:rsid w:val="008A25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8FF"/>
  </w:style>
  <w:style w:type="paragraph" w:styleId="a7">
    <w:name w:val="footer"/>
    <w:basedOn w:val="a"/>
    <w:link w:val="a8"/>
    <w:uiPriority w:val="99"/>
    <w:unhideWhenUsed/>
    <w:rsid w:val="004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8FF"/>
  </w:style>
  <w:style w:type="paragraph" w:styleId="a9">
    <w:name w:val="Balloon Text"/>
    <w:basedOn w:val="a"/>
    <w:link w:val="aa"/>
    <w:uiPriority w:val="99"/>
    <w:semiHidden/>
    <w:unhideWhenUsed/>
    <w:rsid w:val="004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7429;fld=134;dst=1000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nerobova</dc:creator>
  <cp:keywords/>
  <dc:description/>
  <cp:lastModifiedBy>neznanov</cp:lastModifiedBy>
  <cp:revision>8</cp:revision>
  <cp:lastPrinted>2013-07-08T12:26:00Z</cp:lastPrinted>
  <dcterms:created xsi:type="dcterms:W3CDTF">2013-08-15T13:26:00Z</dcterms:created>
  <dcterms:modified xsi:type="dcterms:W3CDTF">2013-08-27T07:02:00Z</dcterms:modified>
</cp:coreProperties>
</file>