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89" w:rsidRDefault="00E2658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0F42" w:rsidRDefault="00870F4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6343C3" w:rsidRDefault="006343C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0CF5" w:rsidRPr="006F0CF5" w:rsidRDefault="006F0CF5" w:rsidP="006F0CF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6F0CF5">
        <w:rPr>
          <w:sz w:val="28"/>
          <w:szCs w:val="28"/>
          <w:lang w:eastAsia="ru-RU"/>
        </w:rPr>
        <w:t>Приложение № 1</w:t>
      </w:r>
    </w:p>
    <w:p w:rsidR="006F0CF5" w:rsidRPr="006F0CF5" w:rsidRDefault="006F0CF5" w:rsidP="006F0CF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6F0CF5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6F0CF5" w:rsidP="006F0CF5">
      <w:pPr>
        <w:tabs>
          <w:tab w:val="left" w:pos="0"/>
          <w:tab w:val="left" w:pos="3052"/>
        </w:tabs>
        <w:ind w:left="3544"/>
        <w:jc w:val="right"/>
      </w:pPr>
      <w:r w:rsidRPr="006F0CF5">
        <w:rPr>
          <w:sz w:val="28"/>
          <w:szCs w:val="28"/>
          <w:lang w:eastAsia="ru-RU"/>
        </w:rPr>
        <w:t>от «</w:t>
      </w:r>
      <w:r w:rsidR="00EE0AE1">
        <w:rPr>
          <w:sz w:val="28"/>
          <w:szCs w:val="28"/>
          <w:lang w:eastAsia="ru-RU"/>
        </w:rPr>
        <w:t xml:space="preserve"> 22 </w:t>
      </w:r>
      <w:r w:rsidRPr="006F0CF5">
        <w:rPr>
          <w:sz w:val="28"/>
          <w:szCs w:val="28"/>
          <w:lang w:eastAsia="ru-RU"/>
        </w:rPr>
        <w:t xml:space="preserve">» ноября 2013 г. № </w:t>
      </w:r>
      <w:r w:rsidR="00EE0AE1">
        <w:rPr>
          <w:sz w:val="28"/>
          <w:szCs w:val="28"/>
          <w:lang w:eastAsia="ru-RU"/>
        </w:rPr>
        <w:t>425</w:t>
      </w:r>
    </w:p>
    <w:p w:rsidR="00524BCA" w:rsidRDefault="00524BCA" w:rsidP="00524BCA">
      <w:pPr>
        <w:tabs>
          <w:tab w:val="left" w:pos="3052"/>
        </w:tabs>
      </w:pPr>
    </w:p>
    <w:p w:rsidR="009D48B8" w:rsidRPr="007C52A9" w:rsidRDefault="009D48B8" w:rsidP="00524BCA">
      <w:pPr>
        <w:tabs>
          <w:tab w:val="left" w:pos="3052"/>
        </w:tabs>
      </w:pPr>
    </w:p>
    <w:p w:rsidR="00043DB6" w:rsidRPr="006343C3" w:rsidRDefault="006343C3" w:rsidP="00EF7EED">
      <w:pPr>
        <w:tabs>
          <w:tab w:val="left" w:pos="3052"/>
        </w:tabs>
        <w:jc w:val="center"/>
        <w:rPr>
          <w:b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6343C3">
        <w:rPr>
          <w:b/>
          <w:sz w:val="28"/>
          <w:szCs w:val="28"/>
        </w:rPr>
        <w:t>МКП «</w:t>
      </w:r>
      <w:proofErr w:type="spellStart"/>
      <w:r w:rsidRPr="006343C3">
        <w:rPr>
          <w:b/>
          <w:sz w:val="28"/>
          <w:szCs w:val="28"/>
        </w:rPr>
        <w:t>Водосеть</w:t>
      </w:r>
      <w:proofErr w:type="spellEnd"/>
      <w:r w:rsidRPr="006343C3">
        <w:rPr>
          <w:b/>
          <w:sz w:val="28"/>
          <w:szCs w:val="28"/>
        </w:rPr>
        <w:t>» (г. Новокузнецк)</w:t>
      </w:r>
    </w:p>
    <w:p w:rsidR="00524BCA" w:rsidRPr="006343C3" w:rsidRDefault="00524BCA" w:rsidP="00EF7EE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</w:p>
    <w:p w:rsidR="00524BCA" w:rsidRPr="006343C3" w:rsidRDefault="00524BCA" w:rsidP="00EF7EED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01.01.2014 по  31.12.2014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7"/>
        <w:gridCol w:w="4392"/>
        <w:gridCol w:w="1275"/>
        <w:gridCol w:w="1701"/>
        <w:gridCol w:w="1701"/>
      </w:tblGrid>
      <w:tr w:rsidR="00D14126" w:rsidRPr="006343C3" w:rsidTr="00D14126">
        <w:trPr>
          <w:trHeight w:val="7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43C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343C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6343C3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6343C3" w:rsidRPr="006343C3" w:rsidTr="00D14126">
        <w:trPr>
          <w:trHeight w:val="37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D14126" w:rsidRPr="006343C3" w:rsidTr="00D14126">
        <w:trPr>
          <w:trHeight w:val="3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6343C3" w:rsidTr="009D48B8">
        <w:trPr>
          <w:trHeight w:val="48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9D48B8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D48B8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D14126" w:rsidRPr="006343C3" w:rsidTr="009D48B8">
        <w:trPr>
          <w:trHeight w:val="41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406 000,00</w:t>
            </w:r>
          </w:p>
        </w:tc>
      </w:tr>
      <w:tr w:rsidR="00D14126" w:rsidRPr="006343C3" w:rsidTr="009D48B8">
        <w:trPr>
          <w:trHeight w:val="40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286 370,00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88 809,47</w:t>
            </w:r>
          </w:p>
        </w:tc>
      </w:tr>
      <w:tr w:rsidR="00D14126" w:rsidRPr="006343C3" w:rsidTr="00D14126">
        <w:trPr>
          <w:trHeight w:val="8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406 000,00</w:t>
            </w:r>
          </w:p>
        </w:tc>
      </w:tr>
      <w:tr w:rsidR="00D14126" w:rsidRPr="006343C3" w:rsidTr="009D48B8">
        <w:trPr>
          <w:trHeight w:val="42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692 370,00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494 809,47</w:t>
            </w:r>
          </w:p>
        </w:tc>
      </w:tr>
      <w:tr w:rsidR="00D14126" w:rsidRPr="006343C3" w:rsidTr="009D48B8">
        <w:trPr>
          <w:trHeight w:val="40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239 629,26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</w:t>
            </w:r>
            <w:r w:rsidR="00A73DB9">
              <w:rPr>
                <w:sz w:val="28"/>
                <w:szCs w:val="28"/>
                <w:lang w:eastAsia="ru-RU"/>
              </w:rPr>
              <w:t> 775,80</w:t>
            </w:r>
          </w:p>
        </w:tc>
      </w:tr>
      <w:tr w:rsidR="00D14126" w:rsidRPr="006343C3" w:rsidTr="00D14126">
        <w:trPr>
          <w:trHeight w:val="6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6343C3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29,66</w:t>
            </w:r>
          </w:p>
        </w:tc>
      </w:tr>
      <w:tr w:rsidR="00D14126" w:rsidRPr="006343C3" w:rsidTr="00D14126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452 740,74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348</w:t>
            </w:r>
            <w:r w:rsidR="00A73DB9">
              <w:rPr>
                <w:sz w:val="28"/>
                <w:szCs w:val="28"/>
                <w:lang w:eastAsia="ru-RU"/>
              </w:rPr>
              <w:t> 033,67</w:t>
            </w:r>
          </w:p>
        </w:tc>
      </w:tr>
      <w:tr w:rsidR="00D14126" w:rsidRPr="006343C3" w:rsidTr="009D48B8">
        <w:trPr>
          <w:trHeight w:val="35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1.7.1.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452 740,74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E30E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348</w:t>
            </w:r>
            <w:r>
              <w:rPr>
                <w:sz w:val="28"/>
                <w:szCs w:val="28"/>
                <w:lang w:eastAsia="ru-RU"/>
              </w:rPr>
              <w:t> 033,67</w:t>
            </w:r>
          </w:p>
        </w:tc>
      </w:tr>
      <w:tr w:rsidR="00D1412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1.7.1.1.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потребителям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318 735,28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245 021,50</w:t>
            </w:r>
          </w:p>
        </w:tc>
      </w:tr>
      <w:tr w:rsidR="00D14126" w:rsidRPr="006343C3" w:rsidTr="00D14126">
        <w:trPr>
          <w:trHeight w:val="5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1.7.1.2.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прочим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134 005,46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103</w:t>
            </w:r>
            <w:r w:rsidR="00A73DB9">
              <w:rPr>
                <w:sz w:val="28"/>
                <w:szCs w:val="28"/>
                <w:lang w:eastAsia="ru-RU"/>
              </w:rPr>
              <w:t> 012,17</w:t>
            </w:r>
          </w:p>
        </w:tc>
      </w:tr>
      <w:tr w:rsidR="00D14126" w:rsidRPr="006343C3" w:rsidTr="00D14126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25 014,09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19 516,97</w:t>
            </w:r>
          </w:p>
        </w:tc>
      </w:tr>
      <w:tr w:rsidR="00D14126" w:rsidRPr="006343C3" w:rsidTr="00D14126">
        <w:trPr>
          <w:trHeight w:val="52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26" w:rsidRPr="006343C3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26" w:rsidRPr="006343C3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6" w:rsidRPr="006343C3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6" w:rsidRPr="006343C3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6" w:rsidRPr="006343C3" w:rsidRDefault="00D14126" w:rsidP="00D141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14126" w:rsidRPr="006343C3" w:rsidTr="00D14126">
        <w:trPr>
          <w:trHeight w:val="13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20 056,4</w:t>
            </w:r>
            <w:r w:rsidR="006E30E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16</w:t>
            </w:r>
            <w:r w:rsidR="00A73DB9">
              <w:rPr>
                <w:sz w:val="28"/>
                <w:szCs w:val="28"/>
                <w:lang w:eastAsia="ru-RU"/>
              </w:rPr>
              <w:t> 065,23</w:t>
            </w:r>
          </w:p>
        </w:tc>
      </w:tr>
      <w:tr w:rsidR="006343C3" w:rsidRPr="006343C3" w:rsidTr="006343C3">
        <w:trPr>
          <w:trHeight w:val="6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43C3" w:rsidRPr="009D48B8" w:rsidRDefault="006343C3" w:rsidP="00EF7E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D48B8">
              <w:rPr>
                <w:bCs/>
                <w:sz w:val="28"/>
                <w:szCs w:val="28"/>
                <w:lang w:eastAsia="ru-RU"/>
              </w:rPr>
              <w:t>2.  Транспортировка питьевой вод</w:t>
            </w:r>
            <w:r w:rsidR="00EF7EED">
              <w:rPr>
                <w:bCs/>
                <w:sz w:val="28"/>
                <w:szCs w:val="28"/>
                <w:lang w:eastAsia="ru-RU"/>
              </w:rPr>
              <w:t>ы</w:t>
            </w:r>
            <w:r w:rsidRPr="009D48B8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4126" w:rsidRPr="006343C3" w:rsidTr="00D14126">
        <w:trPr>
          <w:trHeight w:val="49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197 560,53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197 560,53</w:t>
            </w:r>
          </w:p>
        </w:tc>
      </w:tr>
      <w:tr w:rsidR="00D14126" w:rsidRPr="006343C3" w:rsidTr="00D14126">
        <w:trPr>
          <w:trHeight w:val="57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197 560,53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197 560,53</w:t>
            </w:r>
          </w:p>
        </w:tc>
      </w:tr>
      <w:tr w:rsidR="00D1412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92 853,45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92 853,45</w:t>
            </w:r>
          </w:p>
        </w:tc>
      </w:tr>
      <w:tr w:rsidR="00D14126" w:rsidRPr="006343C3" w:rsidTr="00D14126">
        <w:trPr>
          <w:trHeight w:val="6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Уровень потерь к объему пода</w:t>
            </w:r>
            <w:r w:rsidR="00D14126">
              <w:rPr>
                <w:sz w:val="28"/>
                <w:szCs w:val="28"/>
                <w:lang w:eastAsia="ru-RU"/>
              </w:rPr>
              <w:t>н</w:t>
            </w:r>
            <w:r w:rsidRPr="006343C3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47,00</w:t>
            </w:r>
          </w:p>
        </w:tc>
      </w:tr>
      <w:tr w:rsidR="00D14126" w:rsidRPr="006343C3" w:rsidTr="00D14126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2.5.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104 707,08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104 707,08</w:t>
            </w:r>
          </w:p>
        </w:tc>
      </w:tr>
      <w:tr w:rsidR="00D14126" w:rsidRPr="006343C3" w:rsidTr="00D14126">
        <w:trPr>
          <w:trHeight w:val="58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2.5.1.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104 707,08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104 707,08</w:t>
            </w:r>
          </w:p>
        </w:tc>
      </w:tr>
      <w:tr w:rsidR="00D1412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2.5.1.1.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потребителям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73 713,79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73 713,79</w:t>
            </w:r>
          </w:p>
        </w:tc>
      </w:tr>
      <w:tr w:rsidR="00D14126" w:rsidRPr="006343C3" w:rsidTr="00D14126">
        <w:trPr>
          <w:trHeight w:val="5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2.5.1.2.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прочим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30 993,</w:t>
            </w:r>
            <w:r w:rsidR="00A73DB9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30 993,</w:t>
            </w:r>
            <w:r w:rsidR="00A73DB9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D14126" w:rsidRPr="006343C3" w:rsidTr="00D14126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5 497,12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5 497,12</w:t>
            </w:r>
          </w:p>
        </w:tc>
      </w:tr>
      <w:tr w:rsidR="00D14126" w:rsidRPr="006343C3" w:rsidTr="00D14126">
        <w:trPr>
          <w:trHeight w:val="13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2.6.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программы в сфере транспортировки питьевой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2 102,</w:t>
            </w:r>
            <w:r w:rsidR="00A73DB9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2 102,</w:t>
            </w:r>
            <w:r w:rsidR="00A73DB9">
              <w:rPr>
                <w:sz w:val="28"/>
                <w:szCs w:val="28"/>
                <w:lang w:eastAsia="ru-RU"/>
              </w:rPr>
              <w:t>52</w:t>
            </w:r>
          </w:p>
        </w:tc>
      </w:tr>
      <w:tr w:rsidR="006343C3" w:rsidRPr="006343C3" w:rsidTr="006343C3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9D48B8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D48B8">
              <w:rPr>
                <w:bCs/>
                <w:sz w:val="28"/>
                <w:szCs w:val="28"/>
                <w:lang w:eastAsia="ru-RU"/>
              </w:rPr>
              <w:t xml:space="preserve"> 3.  Водоотведение (полный цикл) </w:t>
            </w:r>
          </w:p>
        </w:tc>
      </w:tr>
      <w:tr w:rsidR="00D14126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</w:tr>
      <w:tr w:rsidR="00D14126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</w:tr>
      <w:tr w:rsidR="00D14126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</w:tr>
      <w:tr w:rsidR="00D14126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от потребителей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122 855,32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122 855,32</w:t>
            </w:r>
          </w:p>
        </w:tc>
      </w:tr>
      <w:tr w:rsidR="00D14126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23 315,69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23 315,69</w:t>
            </w:r>
          </w:p>
        </w:tc>
      </w:tr>
      <w:tr w:rsidR="00D14126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8 992,49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8 992,49</w:t>
            </w:r>
          </w:p>
        </w:tc>
      </w:tr>
      <w:tr w:rsidR="00D14126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146 171,00</w:t>
            </w:r>
          </w:p>
        </w:tc>
      </w:tr>
      <w:tr w:rsidR="00D14126" w:rsidRPr="006343C3" w:rsidTr="00F7753C">
        <w:trPr>
          <w:trHeight w:val="43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26" w:rsidRPr="006343C3" w:rsidRDefault="00D14126" w:rsidP="00254A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26" w:rsidRPr="006343C3" w:rsidRDefault="00D14126" w:rsidP="00254A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6" w:rsidRPr="006343C3" w:rsidRDefault="00D14126" w:rsidP="00254A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6" w:rsidRPr="006343C3" w:rsidRDefault="00D14126" w:rsidP="00254A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6" w:rsidRPr="006343C3" w:rsidRDefault="00D14126" w:rsidP="00254A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14126" w:rsidRPr="006343C3" w:rsidTr="00D14126">
        <w:trPr>
          <w:trHeight w:val="18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9 138,61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A73DB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9521,58</w:t>
            </w:r>
          </w:p>
        </w:tc>
      </w:tr>
      <w:tr w:rsidR="006343C3" w:rsidRPr="006343C3" w:rsidTr="006343C3">
        <w:trPr>
          <w:trHeight w:val="54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9D48B8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D48B8">
              <w:rPr>
                <w:bCs/>
                <w:sz w:val="28"/>
                <w:szCs w:val="28"/>
                <w:lang w:eastAsia="ru-RU"/>
              </w:rPr>
              <w:t xml:space="preserve"> 4.  Транспортировка сточных вод </w:t>
            </w:r>
          </w:p>
        </w:tc>
      </w:tr>
      <w:tr w:rsidR="00D1412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D14126" w:rsidRPr="006343C3" w:rsidTr="00D14126">
        <w:trPr>
          <w:trHeight w:val="8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D1412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D14126" w:rsidRPr="006343C3" w:rsidTr="00D14126">
        <w:trPr>
          <w:trHeight w:val="7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4.2.1.1.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от потребителей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273 404,00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273 404,00</w:t>
            </w:r>
          </w:p>
        </w:tc>
      </w:tr>
      <w:tr w:rsidR="00D14126" w:rsidRPr="006343C3" w:rsidTr="00D14126">
        <w:trPr>
          <w:trHeight w:val="4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4.2.1.2.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112 957,50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112 957,50</w:t>
            </w:r>
          </w:p>
        </w:tc>
      </w:tr>
      <w:tr w:rsidR="00D1412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20 271,50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20 271,50</w:t>
            </w:r>
          </w:p>
        </w:tc>
      </w:tr>
      <w:tr w:rsidR="00D14126" w:rsidRPr="006343C3" w:rsidTr="00D14126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Передано сточных вод другим канализациям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D14126" w:rsidRPr="006343C3" w:rsidTr="00D14126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4.3.1.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в канализационную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386 361,50</w:t>
            </w:r>
          </w:p>
        </w:tc>
      </w:tr>
      <w:tr w:rsidR="00D14126" w:rsidRPr="006343C3" w:rsidTr="00D14126">
        <w:trPr>
          <w:trHeight w:val="18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4.4.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транспортировки сточных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8</w:t>
            </w:r>
            <w:r w:rsidR="00A73DB9">
              <w:rPr>
                <w:sz w:val="28"/>
                <w:szCs w:val="28"/>
                <w:lang w:eastAsia="ru-RU"/>
              </w:rPr>
              <w:t> 511,54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8</w:t>
            </w:r>
            <w:r w:rsidR="00A73DB9">
              <w:rPr>
                <w:sz w:val="28"/>
                <w:szCs w:val="28"/>
                <w:lang w:eastAsia="ru-RU"/>
              </w:rPr>
              <w:t> 511,54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Pr="00270643" w:rsidRDefault="008F17D5" w:rsidP="008F17D5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100"/>
        <w:gridCol w:w="835"/>
        <w:gridCol w:w="157"/>
        <w:gridCol w:w="1434"/>
        <w:gridCol w:w="2525"/>
        <w:gridCol w:w="7"/>
        <w:gridCol w:w="680"/>
        <w:gridCol w:w="612"/>
      </w:tblGrid>
      <w:tr w:rsidR="008F17D5" w:rsidRPr="00D025CD" w:rsidTr="00D7056D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D025CD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D025CD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D025CD" w:rsidTr="00D7056D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D025CD" w:rsidTr="00D7056D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D025CD" w:rsidTr="008F17D5">
        <w:trPr>
          <w:trHeight w:val="180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D025CD" w:rsidRDefault="008F17D5" w:rsidP="008F17D5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F17D5" w:rsidRPr="00D025CD" w:rsidTr="008F17D5">
        <w:trPr>
          <w:trHeight w:val="180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D025CD" w:rsidRDefault="008F17D5" w:rsidP="008F17D5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D025CD" w:rsidTr="00D7056D">
        <w:trPr>
          <w:trHeight w:val="11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Замена водопроводных сетей в п. Листвяги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D025CD" w:rsidRDefault="008F17D5" w:rsidP="00EF7EE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1290,29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D025CD" w:rsidTr="00D7056D">
        <w:trPr>
          <w:trHeight w:val="38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D7056D" w:rsidP="00D7056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8F17D5">
              <w:rPr>
                <w:sz w:val="28"/>
                <w:szCs w:val="28"/>
                <w:lang w:eastAsia="ru-RU"/>
              </w:rPr>
              <w:t>1290,29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D705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D025CD" w:rsidTr="008F17D5">
        <w:trPr>
          <w:trHeight w:val="387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8F17D5" w:rsidRPr="00D025CD" w:rsidTr="008F17D5">
        <w:trPr>
          <w:trHeight w:val="279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D025CD" w:rsidTr="00D7056D">
        <w:trPr>
          <w:trHeight w:val="130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Замена водопроводных сетей в Куйбышевском районе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EB5D5C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337,43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D025CD" w:rsidTr="00D7056D">
        <w:trPr>
          <w:trHeight w:val="259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EB5D5C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337,43</w:t>
            </w:r>
          </w:p>
        </w:tc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D025CD" w:rsidTr="00D7056D">
        <w:trPr>
          <w:trHeight w:val="293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EB5D5C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3. </w:t>
            </w:r>
            <w:r w:rsidR="00EB5D5C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8F17D5" w:rsidRPr="00D025CD" w:rsidTr="00D7056D">
        <w:trPr>
          <w:trHeight w:val="241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</w:p>
        </w:tc>
      </w:tr>
      <w:tr w:rsidR="008F17D5" w:rsidRPr="00D025CD" w:rsidTr="00D7056D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EB5D5C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Замена компрессора на очистных сооружениях п. Листвяги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EB5D5C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1141,48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B5D5C" w:rsidRPr="00D025CD" w:rsidTr="00D7056D">
        <w:trPr>
          <w:trHeight w:val="150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EB5D5C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D025CD" w:rsidRDefault="00EB5D5C" w:rsidP="00EB5D5C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Установка бактерицидных ламп</w:t>
            </w:r>
            <w:r w:rsidR="00375226">
              <w:rPr>
                <w:sz w:val="28"/>
                <w:szCs w:val="28"/>
                <w:lang w:eastAsia="ru-RU"/>
              </w:rPr>
              <w:t xml:space="preserve"> на очистных сооружениях п.</w:t>
            </w:r>
            <w:r w:rsidR="00D7056D">
              <w:rPr>
                <w:sz w:val="28"/>
                <w:szCs w:val="28"/>
                <w:lang w:eastAsia="ru-RU"/>
              </w:rPr>
              <w:t xml:space="preserve"> </w:t>
            </w:r>
            <w:r w:rsidR="00375226">
              <w:rPr>
                <w:sz w:val="28"/>
                <w:szCs w:val="28"/>
                <w:lang w:eastAsia="ru-RU"/>
              </w:rPr>
              <w:t>Листвяги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EB5D5C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EB5D5C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903,95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EB5D5C" w:rsidP="003752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Обеззараживание очищенных сточных вод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75226" w:rsidRPr="00D025CD" w:rsidTr="00D7056D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D7056D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Замена компрессора на очистных сооружениях п. </w:t>
            </w:r>
            <w:proofErr w:type="spellStart"/>
            <w:r w:rsidR="00D7056D">
              <w:rPr>
                <w:sz w:val="28"/>
                <w:szCs w:val="28"/>
                <w:lang w:eastAsia="ru-RU"/>
              </w:rPr>
              <w:t>Абагур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3752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431,08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3752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75226" w:rsidRPr="00D025CD" w:rsidTr="00D7056D">
        <w:trPr>
          <w:trHeight w:val="29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37522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D7056D" w:rsidP="003752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2476,51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37522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Default="00375226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26" w:rsidRPr="00D025CD" w:rsidRDefault="00375226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5D5C" w:rsidRPr="00D025CD" w:rsidTr="00D7056D">
        <w:trPr>
          <w:trHeight w:val="251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EB5D5C" w:rsidRDefault="00EB5D5C" w:rsidP="00EB5D5C">
            <w:pPr>
              <w:pStyle w:val="ab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EB5D5C" w:rsidRPr="00D025CD" w:rsidTr="00D7056D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375226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D025CD" w:rsidRDefault="00375226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Замена сетей канализации</w:t>
            </w:r>
            <w:r w:rsidR="00D7056D">
              <w:rPr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="00D7056D">
              <w:rPr>
                <w:sz w:val="28"/>
                <w:szCs w:val="28"/>
                <w:lang w:eastAsia="ru-RU"/>
              </w:rPr>
              <w:t>Притомский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D025CD" w:rsidRDefault="0037522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D7056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337,43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D7056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D025CD" w:rsidTr="00D7056D">
        <w:trPr>
          <w:trHeight w:val="296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D7056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337,43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F0CF5" w:rsidRPr="006F0CF5" w:rsidRDefault="006F0CF5" w:rsidP="006F0CF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6F0CF5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6F0CF5" w:rsidRPr="006F0CF5" w:rsidRDefault="006F0CF5" w:rsidP="006F0CF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6F0CF5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6F0CF5" w:rsidP="006F0CF5">
      <w:pPr>
        <w:tabs>
          <w:tab w:val="left" w:pos="0"/>
          <w:tab w:val="left" w:pos="3052"/>
        </w:tabs>
        <w:ind w:left="3544"/>
        <w:jc w:val="right"/>
      </w:pPr>
      <w:r w:rsidRPr="006F0CF5">
        <w:rPr>
          <w:sz w:val="28"/>
          <w:szCs w:val="28"/>
          <w:lang w:eastAsia="ru-RU"/>
        </w:rPr>
        <w:t>от «</w:t>
      </w:r>
      <w:r w:rsidR="00EE0AE1">
        <w:rPr>
          <w:sz w:val="28"/>
          <w:szCs w:val="28"/>
          <w:lang w:eastAsia="ru-RU"/>
        </w:rPr>
        <w:t xml:space="preserve"> 22 </w:t>
      </w:r>
      <w:r w:rsidRPr="006F0CF5">
        <w:rPr>
          <w:sz w:val="28"/>
          <w:szCs w:val="28"/>
          <w:lang w:eastAsia="ru-RU"/>
        </w:rPr>
        <w:t xml:space="preserve">» ноября 2013 г. № </w:t>
      </w:r>
      <w:r w:rsidR="00EE0AE1">
        <w:rPr>
          <w:sz w:val="28"/>
          <w:szCs w:val="28"/>
          <w:lang w:eastAsia="ru-RU"/>
        </w:rPr>
        <w:t>425</w:t>
      </w:r>
    </w:p>
    <w:p w:rsidR="006F0CF5" w:rsidRDefault="006F0CF5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</w:p>
    <w:p w:rsidR="00254A07" w:rsidRPr="006343C3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254A07">
        <w:rPr>
          <w:b/>
          <w:sz w:val="28"/>
          <w:szCs w:val="28"/>
        </w:rPr>
        <w:t>питьевую</w:t>
      </w:r>
      <w:r w:rsidRPr="008D0279">
        <w:rPr>
          <w:b/>
          <w:sz w:val="28"/>
          <w:szCs w:val="28"/>
        </w:rPr>
        <w:t xml:space="preserve"> воду, </w:t>
      </w:r>
      <w:r w:rsidR="00254A07" w:rsidRPr="008D0279">
        <w:rPr>
          <w:b/>
          <w:sz w:val="28"/>
          <w:szCs w:val="28"/>
        </w:rPr>
        <w:t>транспортировку питьевой воды</w:t>
      </w:r>
      <w:r w:rsidR="00254A07">
        <w:rPr>
          <w:b/>
          <w:sz w:val="28"/>
          <w:szCs w:val="28"/>
        </w:rPr>
        <w:t>, водоотведение,</w:t>
      </w:r>
      <w:r w:rsidR="00254A07" w:rsidRPr="008D0279">
        <w:rPr>
          <w:b/>
          <w:sz w:val="28"/>
          <w:szCs w:val="28"/>
        </w:rPr>
        <w:t xml:space="preserve"> </w:t>
      </w:r>
      <w:r w:rsidR="00254A07">
        <w:rPr>
          <w:b/>
          <w:sz w:val="28"/>
          <w:szCs w:val="28"/>
        </w:rPr>
        <w:t xml:space="preserve">транспортировку сточных вод </w:t>
      </w:r>
      <w:r w:rsidR="00254A07" w:rsidRPr="006343C3">
        <w:rPr>
          <w:b/>
          <w:sz w:val="28"/>
          <w:szCs w:val="28"/>
        </w:rPr>
        <w:t>МКП «</w:t>
      </w:r>
      <w:proofErr w:type="spellStart"/>
      <w:r w:rsidR="00254A07" w:rsidRPr="006343C3">
        <w:rPr>
          <w:b/>
          <w:sz w:val="28"/>
          <w:szCs w:val="28"/>
        </w:rPr>
        <w:t>Водосеть</w:t>
      </w:r>
      <w:proofErr w:type="spellEnd"/>
      <w:r w:rsidR="00254A07" w:rsidRPr="006343C3">
        <w:rPr>
          <w:b/>
          <w:sz w:val="28"/>
          <w:szCs w:val="28"/>
        </w:rPr>
        <w:t>» (г. Новокузнецк)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268"/>
        <w:gridCol w:w="1843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EA2512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01.01.2014 по 30.06.2014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254A07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2527F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54,47</w:t>
            </w:r>
          </w:p>
        </w:tc>
      </w:tr>
      <w:tr w:rsidR="00EA2512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46,16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54A07"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D2527F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23,69</w:t>
            </w:r>
            <w:r w:rsidR="00050D5E">
              <w:rPr>
                <w:color w:val="000000"/>
                <w:sz w:val="28"/>
                <w:szCs w:val="28"/>
                <w:lang w:eastAsia="ru-RU"/>
              </w:rPr>
              <w:t>**</w:t>
            </w:r>
            <w:r w:rsidR="00170FDD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D2527F" w:rsidRPr="00EA2512" w:rsidTr="00D2527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20,08</w:t>
            </w:r>
            <w:r w:rsidR="00050D5E">
              <w:rPr>
                <w:color w:val="000000"/>
                <w:sz w:val="28"/>
                <w:szCs w:val="28"/>
                <w:lang w:eastAsia="ru-RU"/>
              </w:rPr>
              <w:t>**</w:t>
            </w:r>
            <w:r w:rsidR="00170FDD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D2527F" w:rsidRPr="00EA2512" w:rsidTr="00EA2512">
        <w:trPr>
          <w:trHeight w:val="51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254A0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D2527F" w:rsidRPr="00EA2512" w:rsidTr="00D2527F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76,87</w:t>
            </w:r>
          </w:p>
        </w:tc>
      </w:tr>
      <w:tr w:rsidR="00D2527F" w:rsidRPr="00EA2512" w:rsidTr="00D2527F">
        <w:trPr>
          <w:trHeight w:val="4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6527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65,14</w:t>
            </w:r>
          </w:p>
        </w:tc>
      </w:tr>
      <w:tr w:rsidR="00D2527F" w:rsidRPr="00EA2512" w:rsidTr="00EA2512">
        <w:trPr>
          <w:trHeight w:val="49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>4. Транспортировка сточных вод</w:t>
            </w:r>
          </w:p>
        </w:tc>
      </w:tr>
      <w:tr w:rsidR="00D2527F" w:rsidRPr="00EA2512" w:rsidTr="00D2527F">
        <w:trPr>
          <w:trHeight w:val="3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B715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26,00</w:t>
            </w:r>
            <w:r w:rsidR="009C53A1"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B715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26,00</w:t>
            </w:r>
            <w:r w:rsidR="00050D5E">
              <w:rPr>
                <w:color w:val="000000"/>
                <w:sz w:val="28"/>
                <w:szCs w:val="28"/>
                <w:lang w:eastAsia="ru-RU"/>
              </w:rPr>
              <w:t>**</w:t>
            </w:r>
            <w:r w:rsidR="009C53A1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D2527F" w:rsidRPr="00EA2512" w:rsidTr="00D2527F">
        <w:trPr>
          <w:trHeight w:val="4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B715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22,03</w:t>
            </w:r>
            <w:r w:rsidR="009C53A1"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B715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22,03</w:t>
            </w:r>
            <w:r w:rsidR="00050D5E">
              <w:rPr>
                <w:color w:val="000000"/>
                <w:sz w:val="28"/>
                <w:szCs w:val="28"/>
                <w:lang w:eastAsia="ru-RU"/>
              </w:rPr>
              <w:t>**</w:t>
            </w:r>
            <w:r w:rsidR="009C53A1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C53A1" w:rsidRDefault="009C53A1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9D48B8">
        <w:rPr>
          <w:sz w:val="28"/>
          <w:szCs w:val="28"/>
        </w:rPr>
        <w:t>*Тариф на транспортировку сточных вод</w:t>
      </w:r>
      <w:r>
        <w:rPr>
          <w:sz w:val="28"/>
          <w:szCs w:val="28"/>
        </w:rPr>
        <w:t xml:space="preserve"> установлен без учета стоимости услуг водоотведения, производимых ЗАО «Водоканал» </w:t>
      </w:r>
      <w:r w:rsidR="009D48B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(г. Новокузнецк), ООО «Трансвик» </w:t>
      </w:r>
      <w:bookmarkStart w:id="1" w:name="OLE_LINK2"/>
      <w:r>
        <w:rPr>
          <w:sz w:val="28"/>
          <w:szCs w:val="28"/>
        </w:rPr>
        <w:t>(г. Новокузнецк)</w:t>
      </w:r>
      <w:bookmarkEnd w:id="1"/>
      <w:r>
        <w:rPr>
          <w:sz w:val="28"/>
          <w:szCs w:val="28"/>
        </w:rPr>
        <w:t xml:space="preserve">, Муниципальным предприятием Новокузнецкого городского округа «Сибирская сбытовая компания» (г. Новокузнецк). </w:t>
      </w:r>
      <w:proofErr w:type="gramStart"/>
      <w:r>
        <w:rPr>
          <w:sz w:val="28"/>
          <w:szCs w:val="28"/>
        </w:rPr>
        <w:t xml:space="preserve">Стоимость услуг водоотведения  </w:t>
      </w:r>
      <w:r w:rsidR="009D48B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ЗАО «Водоканал» (г.</w:t>
      </w:r>
      <w:r w:rsidR="006F0CF5">
        <w:rPr>
          <w:sz w:val="28"/>
          <w:szCs w:val="28"/>
        </w:rPr>
        <w:t xml:space="preserve"> </w:t>
      </w:r>
      <w:r>
        <w:rPr>
          <w:sz w:val="28"/>
          <w:szCs w:val="28"/>
        </w:rPr>
        <w:t>Новокузнецк), ООО «</w:t>
      </w:r>
      <w:proofErr w:type="spellStart"/>
      <w:r>
        <w:rPr>
          <w:sz w:val="28"/>
          <w:szCs w:val="28"/>
        </w:rPr>
        <w:t>Трансвик</w:t>
      </w:r>
      <w:proofErr w:type="spellEnd"/>
      <w:r>
        <w:rPr>
          <w:sz w:val="28"/>
          <w:szCs w:val="28"/>
        </w:rPr>
        <w:t>»</w:t>
      </w:r>
      <w:r w:rsidRPr="00B82D50">
        <w:rPr>
          <w:sz w:val="28"/>
          <w:szCs w:val="28"/>
        </w:rPr>
        <w:t xml:space="preserve"> </w:t>
      </w:r>
      <w:r>
        <w:rPr>
          <w:sz w:val="28"/>
          <w:szCs w:val="28"/>
        </w:rPr>
        <w:t>(г. Новокузнецк), Муниципального предприятия Новокузнецкого городского округа «Сибирская сбытовая компания»</w:t>
      </w:r>
      <w:r w:rsidRPr="00B82D50">
        <w:rPr>
          <w:sz w:val="28"/>
          <w:szCs w:val="28"/>
        </w:rPr>
        <w:t xml:space="preserve"> </w:t>
      </w:r>
      <w:r>
        <w:rPr>
          <w:sz w:val="28"/>
          <w:szCs w:val="28"/>
        </w:rPr>
        <w:t>(г. Новокузнецк) оплачивается потребителями дополнительно по соответствующему тарифу</w:t>
      </w:r>
      <w:r w:rsidR="00AF691E">
        <w:rPr>
          <w:sz w:val="28"/>
          <w:szCs w:val="28"/>
        </w:rPr>
        <w:t>.</w:t>
      </w:r>
      <w:proofErr w:type="gramEnd"/>
    </w:p>
    <w:p w:rsidR="00FA0BBC" w:rsidRPr="009C53A1" w:rsidRDefault="00C45019" w:rsidP="009C5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9C53A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гарантирующей       организации -  ЗАО «Водоканал»</w:t>
      </w:r>
      <w:r>
        <w:rPr>
          <w:sz w:val="28"/>
          <w:szCs w:val="28"/>
        </w:rPr>
        <w:t>.</w:t>
      </w:r>
    </w:p>
    <w:sectPr w:rsidR="00FA0BBC" w:rsidRPr="009C53A1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EC" w:rsidRDefault="008F7EEC" w:rsidP="00524BCA">
      <w:r>
        <w:separator/>
      </w:r>
    </w:p>
  </w:endnote>
  <w:endnote w:type="continuationSeparator" w:id="0">
    <w:p w:rsidR="008F7EEC" w:rsidRDefault="008F7EE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EC" w:rsidRDefault="008F7EEC" w:rsidP="00524BCA">
      <w:r>
        <w:separator/>
      </w:r>
    </w:p>
  </w:footnote>
  <w:footnote w:type="continuationSeparator" w:id="0">
    <w:p w:rsidR="008F7EEC" w:rsidRDefault="008F7EE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6E30E1" w:rsidRDefault="001936B1">
        <w:pPr>
          <w:pStyle w:val="a3"/>
          <w:jc w:val="center"/>
        </w:pPr>
        <w:r>
          <w:fldChar w:fldCharType="begin"/>
        </w:r>
        <w:r w:rsidR="009D48B8">
          <w:instrText xml:space="preserve"> PAGE   \* MERGEFORMAT </w:instrText>
        </w:r>
        <w:r>
          <w:fldChar w:fldCharType="separate"/>
        </w:r>
        <w:r w:rsidR="00870F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30E1" w:rsidRDefault="006E30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FDD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6B1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5A88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0CF5"/>
    <w:rsid w:val="006F2EA7"/>
    <w:rsid w:val="006F3692"/>
    <w:rsid w:val="006F3EFE"/>
    <w:rsid w:val="006F4DCF"/>
    <w:rsid w:val="006F5167"/>
    <w:rsid w:val="006F543A"/>
    <w:rsid w:val="006F6111"/>
    <w:rsid w:val="006F6D80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0F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EC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48B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0AE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ED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53C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2013-11-20T11:05:00Z</cp:lastPrinted>
  <dcterms:created xsi:type="dcterms:W3CDTF">2013-11-26T15:33:00Z</dcterms:created>
  <dcterms:modified xsi:type="dcterms:W3CDTF">2013-11-26T15:34:00Z</dcterms:modified>
</cp:coreProperties>
</file>