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301"/>
        <w:gridCol w:w="3645"/>
      </w:tblGrid>
      <w:tr w:rsidR="00B33A4C" w:rsidRPr="00B33A4C" w:rsidTr="00B33A4C">
        <w:trPr>
          <w:trHeight w:val="147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357327">
            <w:pPr>
              <w:jc w:val="right"/>
              <w:rPr>
                <w:sz w:val="28"/>
                <w:szCs w:val="28"/>
              </w:rPr>
            </w:pPr>
            <w:bookmarkStart w:id="0" w:name="RANGE!A1:N58"/>
            <w:r w:rsidRPr="00B33A4C">
              <w:rPr>
                <w:sz w:val="28"/>
                <w:szCs w:val="28"/>
              </w:rPr>
              <w:t>Приложение №1</w:t>
            </w:r>
            <w:r w:rsidRPr="00B33A4C">
              <w:rPr>
                <w:sz w:val="28"/>
                <w:szCs w:val="28"/>
              </w:rPr>
              <w:br/>
              <w:t>к постановлению региональной энергетической</w:t>
            </w:r>
            <w:r w:rsidRPr="00B33A4C">
              <w:rPr>
                <w:sz w:val="28"/>
                <w:szCs w:val="28"/>
              </w:rPr>
              <w:br/>
              <w:t>комиссии Кемеровской области</w:t>
            </w:r>
            <w:r w:rsidRPr="00B33A4C">
              <w:rPr>
                <w:sz w:val="28"/>
                <w:szCs w:val="28"/>
              </w:rPr>
              <w:br/>
              <w:t>от "</w:t>
            </w:r>
            <w:r w:rsidR="00357327">
              <w:rPr>
                <w:sz w:val="28"/>
                <w:szCs w:val="28"/>
              </w:rPr>
              <w:t xml:space="preserve"> 20 </w:t>
            </w:r>
            <w:r w:rsidRPr="00B33A4C">
              <w:rPr>
                <w:sz w:val="28"/>
                <w:szCs w:val="28"/>
              </w:rPr>
              <w:t xml:space="preserve">" декабря 2013 года № </w:t>
            </w:r>
            <w:bookmarkEnd w:id="0"/>
            <w:r w:rsidR="00357327">
              <w:rPr>
                <w:sz w:val="28"/>
                <w:szCs w:val="28"/>
              </w:rPr>
              <w:t>629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6"/>
                <w:szCs w:val="26"/>
              </w:rPr>
            </w:pPr>
            <w:r w:rsidRPr="00B33A4C">
              <w:rPr>
                <w:b/>
                <w:bCs/>
                <w:sz w:val="26"/>
                <w:szCs w:val="26"/>
              </w:rPr>
              <w:t>Сбытовая надбавка гарантирующего поставщика электрической энергии ОАО "</w:t>
            </w:r>
            <w:proofErr w:type="spellStart"/>
            <w:r w:rsidRPr="00B33A4C">
              <w:rPr>
                <w:b/>
                <w:bCs/>
                <w:sz w:val="26"/>
                <w:szCs w:val="26"/>
              </w:rPr>
              <w:t>Кузбассэнергосбыт</w:t>
            </w:r>
            <w:proofErr w:type="spellEnd"/>
            <w:r w:rsidRPr="00B33A4C">
              <w:rPr>
                <w:b/>
                <w:bCs/>
                <w:sz w:val="26"/>
                <w:szCs w:val="26"/>
              </w:rPr>
              <w:t>", поставляющего электрическую энергию (мощность) на розничном рынке на территориях, объединенных в ценовые и неценовые зоны оптового рынка на 2014 год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right"/>
            </w:pPr>
            <w:r w:rsidRPr="00B33A4C">
              <w:t>(без НДС)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тарифная группа потребителей "население" и приравненные к нему категории потребителей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36A2" w:rsidRPr="00B33A4C" w:rsidTr="00B33A4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Pr="00B33A4C" w:rsidRDefault="00C136A2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36A2" w:rsidRPr="00B33A4C" w:rsidRDefault="00C136A2" w:rsidP="00B33A4C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</w:t>
            </w:r>
            <w:proofErr w:type="spellStart"/>
            <w:r w:rsidRPr="00B33A4C">
              <w:rPr>
                <w:sz w:val="22"/>
                <w:szCs w:val="22"/>
              </w:rPr>
              <w:t>Кузбассэнергосбыт</w:t>
            </w:r>
            <w:proofErr w:type="spellEnd"/>
            <w:r w:rsidRPr="00B33A4C">
              <w:rPr>
                <w:sz w:val="22"/>
                <w:szCs w:val="22"/>
              </w:rPr>
              <w:t>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0,1934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0,2278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"сетевые организации, покупающие электрическую энергию для компенсации потерь электрической энергии" 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36A2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Pr="00B33A4C" w:rsidRDefault="00C136A2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36A2" w:rsidRPr="00B33A4C" w:rsidRDefault="00C136A2" w:rsidP="00B33A4C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</w:t>
            </w:r>
            <w:proofErr w:type="spellStart"/>
            <w:r w:rsidRPr="00B33A4C">
              <w:rPr>
                <w:sz w:val="22"/>
                <w:szCs w:val="22"/>
              </w:rPr>
              <w:t>Кузбассэнергосбыт</w:t>
            </w:r>
            <w:proofErr w:type="spellEnd"/>
            <w:r w:rsidRPr="00B33A4C">
              <w:rPr>
                <w:sz w:val="22"/>
                <w:szCs w:val="22"/>
              </w:rPr>
              <w:t>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0,1322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0,1641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Тарифная группа "прочие потребители"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В виде формулы на розничном рынке на территориях, объединенных   в ценовые зоны оптового рынка </w:t>
            </w:r>
          </w:p>
        </w:tc>
      </w:tr>
      <w:tr w:rsidR="00B33A4C" w:rsidRPr="00B33A4C" w:rsidTr="00B33A4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</w:t>
            </w:r>
            <w:proofErr w:type="spellStart"/>
            <w:r w:rsidRPr="00B33A4C">
              <w:rPr>
                <w:sz w:val="22"/>
                <w:szCs w:val="22"/>
              </w:rPr>
              <w:t>Кузбассэнергосбыт</w:t>
            </w:r>
            <w:proofErr w:type="spellEnd"/>
            <w:r w:rsidRPr="00B33A4C">
              <w:rPr>
                <w:sz w:val="22"/>
                <w:szCs w:val="22"/>
              </w:rPr>
              <w:t>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55"/>
                <w:tblCellSpacing w:w="0" w:type="dxa"/>
              </w:trPr>
              <w:tc>
                <w:tcPr>
                  <w:tcW w:w="10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3A4C" w:rsidRPr="00B33A4C" w:rsidRDefault="00B33A4C" w:rsidP="00B33A4C">
                  <w:pPr>
                    <w:jc w:val="center"/>
                  </w:pPr>
                  <w:r>
                    <w:rPr>
                      <w:rFonts w:ascii="Arial CYR" w:hAnsi="Arial CYR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4E39F9D0" wp14:editId="213181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342900" cy="257175"/>
                        <wp:effectExtent l="0" t="0" r="0" b="9525"/>
                        <wp:wrapNone/>
                        <wp:docPr id="6" name="Рисунок 6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1025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33A4C">
                    <w:t> </w:t>
                  </w: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both"/>
              <w:rPr>
                <w:color w:val="FFFFFF"/>
              </w:rPr>
            </w:pPr>
            <w:r w:rsidRPr="00B33A4C">
              <w:rPr>
                <w:color w:val="FFFFFF"/>
              </w:rPr>
              <w:t>_____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>j-</w:t>
            </w:r>
            <w:proofErr w:type="spellStart"/>
            <w:r w:rsidRPr="00B33A4C">
              <w:t>ый</w:t>
            </w:r>
            <w:proofErr w:type="spellEnd"/>
            <w:r w:rsidRPr="00B33A4C">
              <w:t xml:space="preserve"> вид цены на электрическую энергию и (или) мощность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ГП, руб./</w:t>
            </w:r>
            <w:proofErr w:type="spellStart"/>
            <w:r w:rsidRPr="00B33A4C">
              <w:t>кВт·ч</w:t>
            </w:r>
            <w:proofErr w:type="spellEnd"/>
            <w:r w:rsidRPr="00B33A4C">
              <w:t xml:space="preserve"> или руб./кВт, указанный в п. 16 Методических указаний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</w:p>
        </w:tc>
      </w:tr>
      <w:tr w:rsidR="00B33A4C" w:rsidRPr="00B33A4C" w:rsidTr="00B33A4C">
        <w:trPr>
          <w:trHeight w:val="135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both"/>
            </w:pPr>
            <w:proofErr w:type="spellStart"/>
            <w:r w:rsidRPr="00B33A4C">
              <w:t>ДП</w:t>
            </w:r>
            <w:r w:rsidRPr="00B33A4C">
              <w:rPr>
                <w:vertAlign w:val="subscript"/>
              </w:rPr>
              <w:t>i.k</w:t>
            </w:r>
            <w:proofErr w:type="spellEnd"/>
            <w:r w:rsidRPr="00B33A4C">
              <w:rPr>
                <w:color w:val="FFFFFF"/>
              </w:rPr>
              <w:t>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 xml:space="preserve">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</w:t>
            </w:r>
            <w:proofErr w:type="spellStart"/>
            <w:r w:rsidRPr="00B33A4C">
              <w:t>ых</w:t>
            </w:r>
            <w:proofErr w:type="spellEnd"/>
            <w:r w:rsidRPr="00B33A4C">
              <w:t xml:space="preserve"> подгрупп группы "прочие потребители"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 в таблице: </w:t>
            </w:r>
          </w:p>
        </w:tc>
      </w:tr>
    </w:tbl>
    <w:p w:rsidR="00547622" w:rsidRDefault="00547622"/>
    <w:p w:rsidR="00547622" w:rsidRDefault="00547622"/>
    <w:p w:rsidR="00547622" w:rsidRDefault="00547622"/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992"/>
        <w:gridCol w:w="993"/>
        <w:gridCol w:w="992"/>
        <w:gridCol w:w="992"/>
        <w:gridCol w:w="418"/>
        <w:gridCol w:w="574"/>
        <w:gridCol w:w="993"/>
        <w:gridCol w:w="992"/>
      </w:tblGrid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lastRenderedPageBreak/>
              <w:t> </w:t>
            </w:r>
          </w:p>
        </w:tc>
      </w:tr>
      <w:tr w:rsidR="00B33A4C" w:rsidRPr="00B33A4C" w:rsidTr="00B33A4C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33A4C">
              <w:rPr>
                <w:b/>
                <w:bCs/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Доходность продаж для группы "прочие потребители", (ДП)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подгруппы потребителей с максимальной мощностью 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энергопринимающих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 xml:space="preserve"> устройств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менее 150 кВт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от 150 до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от 670 кВт до </w:t>
            </w:r>
            <w:r w:rsidRPr="00B33A4C">
              <w:rPr>
                <w:b/>
                <w:bCs/>
                <w:sz w:val="22"/>
                <w:szCs w:val="22"/>
              </w:rPr>
              <w:br/>
              <w:t>10 МВт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не менее 10 МВт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136A2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Pr="00B33A4C" w:rsidRDefault="00C136A2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36A2" w:rsidRPr="00B33A4C" w:rsidRDefault="00C136A2" w:rsidP="00B33A4C">
            <w:r w:rsidRPr="00B33A4C">
              <w:t>ОАО "</w:t>
            </w:r>
            <w:proofErr w:type="spellStart"/>
            <w:r w:rsidRPr="00B33A4C">
              <w:t>Кузбассэнергосбыт</w:t>
            </w:r>
            <w:proofErr w:type="spellEnd"/>
            <w:r w:rsidRPr="00B33A4C"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13,04%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13,80%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 w:rsidP="00401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40161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7,52%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62848" behindDoc="0" locked="0" layoutInCell="1" allowOverlap="1" wp14:anchorId="12AA979D" wp14:editId="35871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190500"/>
                  <wp:effectExtent l="0" t="0" r="0" b="0"/>
                  <wp:wrapNone/>
                  <wp:docPr id="5" name="Рисунок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3A4C" w:rsidRPr="00B33A4C" w:rsidRDefault="00B33A4C" w:rsidP="00B33A4C">
                  <w:pPr>
                    <w:jc w:val="both"/>
                    <w:rPr>
                      <w:color w:val="FFFFFF"/>
                    </w:rPr>
                  </w:pPr>
                  <w:r w:rsidRPr="00B33A4C">
                    <w:rPr>
                      <w:color w:val="FFFFFF"/>
                    </w:rPr>
                    <w:t>_____</w:t>
                  </w:r>
                  <w:r w:rsidRPr="00B33A4C">
                    <w:t>-</w:t>
                  </w:r>
                  <w:r w:rsidRPr="00B33A4C">
                    <w:rPr>
                      <w:color w:val="FFFFFF"/>
                    </w:rPr>
                    <w:t>_</w:t>
                  </w:r>
                  <w:r w:rsidRPr="00B33A4C">
            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            </w:r>
                  <w:proofErr w:type="gramStart"/>
                  <w:r w:rsidRPr="00B33A4C">
                    <w:t>продаж</w:t>
                  </w:r>
                  <w:proofErr w:type="gramEnd"/>
                  <w:r w:rsidRPr="00B33A4C">
      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</w:t>
                  </w:r>
                  <w:proofErr w:type="spellStart"/>
                  <w:r w:rsidRPr="00B33A4C">
                    <w:t>го</w:t>
                  </w:r>
                  <w:proofErr w:type="spellEnd"/>
                  <w:r w:rsidRPr="00B33A4C">
                    <w:t xml:space="preserve"> ГП в таблице: </w:t>
                  </w:r>
                </w:p>
              </w:tc>
            </w:tr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3A4C" w:rsidRPr="00B33A4C" w:rsidRDefault="00B33A4C" w:rsidP="00B33A4C">
                  <w:pPr>
                    <w:rPr>
                      <w:color w:val="FFFFFF"/>
                    </w:rPr>
                  </w:pP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165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 w:rsidRPr="00B33A4C">
              <w:rPr>
                <w:b/>
                <w:bCs/>
                <w:sz w:val="22"/>
                <w:szCs w:val="22"/>
              </w:rPr>
              <w:br/>
              <w:t xml:space="preserve">в субъекте Российской Федерации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Коэффициент параметров деятельности гарантирующего поставщика, (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>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 полугодие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 полугодие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36A2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6A2" w:rsidRPr="00B33A4C" w:rsidRDefault="00C136A2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A2" w:rsidRPr="00B33A4C" w:rsidRDefault="00C136A2" w:rsidP="00B33A4C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</w:t>
            </w:r>
            <w:proofErr w:type="spellStart"/>
            <w:r w:rsidRPr="00B33A4C">
              <w:rPr>
                <w:sz w:val="22"/>
                <w:szCs w:val="22"/>
              </w:rPr>
              <w:t>Кузбассэнергосбыт</w:t>
            </w:r>
            <w:proofErr w:type="spellEnd"/>
            <w:r w:rsidRPr="00B33A4C">
              <w:rPr>
                <w:sz w:val="22"/>
                <w:szCs w:val="22"/>
              </w:rPr>
              <w:t>"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6A2" w:rsidRDefault="00C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t xml:space="preserve">Примечание. В примечании указываются необходимые сведения по применению настоящего приложения. </w:t>
            </w: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rPr>
                <w:vertAlign w:val="superscript"/>
              </w:rPr>
              <w:t>1</w:t>
            </w:r>
            <w:r w:rsidRPr="00B33A4C">
              <w:rPr>
                <w:color w:val="FFFFFF"/>
              </w:rPr>
              <w:t>_</w:t>
            </w:r>
            <w:r w:rsidRPr="00B33A4C">
              <w:t>Данные значения указываются в формуле.</w:t>
            </w:r>
          </w:p>
        </w:tc>
      </w:tr>
    </w:tbl>
    <w:p w:rsidR="00BA73F8" w:rsidRPr="00580729" w:rsidRDefault="00BA73F8" w:rsidP="00C248EF">
      <w:pPr>
        <w:pStyle w:val="2"/>
        <w:keepNext w:val="0"/>
        <w:widowControl w:val="0"/>
        <w:spacing w:line="240" w:lineRule="auto"/>
        <w:jc w:val="right"/>
      </w:pPr>
      <w:bookmarkStart w:id="1" w:name="_GoBack"/>
      <w:bookmarkEnd w:id="1"/>
    </w:p>
    <w:sectPr w:rsidR="00BA73F8" w:rsidRPr="00580729" w:rsidSect="00B33A4C">
      <w:pgSz w:w="11906" w:h="16838" w:code="9"/>
      <w:pgMar w:top="426" w:right="566" w:bottom="426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A2" w:rsidRDefault="00EC69A2">
      <w:r>
        <w:separator/>
      </w:r>
    </w:p>
  </w:endnote>
  <w:endnote w:type="continuationSeparator" w:id="0">
    <w:p w:rsidR="00EC69A2" w:rsidRDefault="00E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65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A2" w:rsidRDefault="00EC69A2">
      <w:r>
        <w:separator/>
      </w:r>
    </w:p>
  </w:footnote>
  <w:footnote w:type="continuationSeparator" w:id="0">
    <w:p w:rsidR="00EC69A2" w:rsidRDefault="00EC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7"/>
    <w:rsid w:val="00013248"/>
    <w:rsid w:val="000455DC"/>
    <w:rsid w:val="00046117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426A"/>
    <w:rsid w:val="000D6463"/>
    <w:rsid w:val="000E0032"/>
    <w:rsid w:val="000E4A90"/>
    <w:rsid w:val="000F7B11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C20B0"/>
    <w:rsid w:val="002D36B1"/>
    <w:rsid w:val="002E0DD4"/>
    <w:rsid w:val="002E1FB5"/>
    <w:rsid w:val="002E4D5F"/>
    <w:rsid w:val="002E73AE"/>
    <w:rsid w:val="00302BCE"/>
    <w:rsid w:val="00304DBF"/>
    <w:rsid w:val="00307775"/>
    <w:rsid w:val="0033531F"/>
    <w:rsid w:val="003404B9"/>
    <w:rsid w:val="003518A8"/>
    <w:rsid w:val="00356100"/>
    <w:rsid w:val="00357327"/>
    <w:rsid w:val="00382E54"/>
    <w:rsid w:val="003846B9"/>
    <w:rsid w:val="003927EC"/>
    <w:rsid w:val="003A03DB"/>
    <w:rsid w:val="003A42C4"/>
    <w:rsid w:val="003B1686"/>
    <w:rsid w:val="003B17D1"/>
    <w:rsid w:val="003B20F0"/>
    <w:rsid w:val="003B2DF9"/>
    <w:rsid w:val="003C29D4"/>
    <w:rsid w:val="003C2A2E"/>
    <w:rsid w:val="003D10DA"/>
    <w:rsid w:val="003E34D5"/>
    <w:rsid w:val="003E41DF"/>
    <w:rsid w:val="003F2410"/>
    <w:rsid w:val="004011B7"/>
    <w:rsid w:val="00401614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60BF"/>
    <w:rsid w:val="00544C1C"/>
    <w:rsid w:val="00547622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154B"/>
    <w:rsid w:val="005D2915"/>
    <w:rsid w:val="005D4AE9"/>
    <w:rsid w:val="005E2980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448A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7240"/>
    <w:rsid w:val="006D6439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69D0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400F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04F8E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77EF1"/>
    <w:rsid w:val="00A877E5"/>
    <w:rsid w:val="00AB3A94"/>
    <w:rsid w:val="00AB51F1"/>
    <w:rsid w:val="00AC5C5D"/>
    <w:rsid w:val="00AD5CC3"/>
    <w:rsid w:val="00AD79BA"/>
    <w:rsid w:val="00AE42DD"/>
    <w:rsid w:val="00AF5DA5"/>
    <w:rsid w:val="00AF73C2"/>
    <w:rsid w:val="00B07E0B"/>
    <w:rsid w:val="00B22BD3"/>
    <w:rsid w:val="00B304FE"/>
    <w:rsid w:val="00B32969"/>
    <w:rsid w:val="00B33A4C"/>
    <w:rsid w:val="00B35FD0"/>
    <w:rsid w:val="00B527DB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1E9"/>
    <w:rsid w:val="00C0238C"/>
    <w:rsid w:val="00C03267"/>
    <w:rsid w:val="00C0343D"/>
    <w:rsid w:val="00C03B27"/>
    <w:rsid w:val="00C136A2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C69A2"/>
    <w:rsid w:val="00EC702D"/>
    <w:rsid w:val="00EE0234"/>
    <w:rsid w:val="00EE2607"/>
    <w:rsid w:val="00EE7420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185F"/>
    <w:rsid w:val="00FB6717"/>
    <w:rsid w:val="00FD1AF2"/>
    <w:rsid w:val="00FD41C2"/>
    <w:rsid w:val="00FF1186"/>
    <w:rsid w:val="00FF123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комиссия</Company>
  <LinksUpToDate>false</LinksUpToDate>
  <CharactersWithSpaces>3714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http://www.recko.ru/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Копеин Валерий Валентинович</dc:creator>
  <cp:lastModifiedBy>neznanov</cp:lastModifiedBy>
  <cp:revision>4</cp:revision>
  <cp:lastPrinted>2013-12-27T06:27:00Z</cp:lastPrinted>
  <dcterms:created xsi:type="dcterms:W3CDTF">2013-12-28T05:22:00Z</dcterms:created>
  <dcterms:modified xsi:type="dcterms:W3CDTF">2014-01-10T08:12:00Z</dcterms:modified>
</cp:coreProperties>
</file>