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3D4153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3A47AA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22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D4153">
        <w:rPr>
          <w:color w:val="000000"/>
          <w:sz w:val="28"/>
          <w:szCs w:val="28"/>
          <w:lang w:eastAsia="ru-RU"/>
        </w:rPr>
        <w:t>624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8F0D48" w:rsidRPr="00677C8E" w:rsidRDefault="008F0D48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BA2DF8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BA2DF8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9B0400" w:rsidRDefault="00A227F5" w:rsidP="00BA2DF8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ОАО «РЖД» (филиал </w:t>
      </w:r>
      <w:r w:rsidR="005679AF">
        <w:rPr>
          <w:b/>
          <w:bCs/>
          <w:color w:val="000000"/>
          <w:kern w:val="32"/>
          <w:sz w:val="28"/>
          <w:szCs w:val="28"/>
        </w:rPr>
        <w:t xml:space="preserve">Красноярская дирекция по </w:t>
      </w:r>
      <w:proofErr w:type="spellStart"/>
      <w:r w:rsidR="005679A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5679AF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2213D8">
        <w:rPr>
          <w:b/>
          <w:bCs/>
          <w:color w:val="000000"/>
          <w:kern w:val="32"/>
          <w:sz w:val="28"/>
          <w:szCs w:val="28"/>
        </w:rPr>
        <w:t>)</w:t>
      </w:r>
      <w:r w:rsidR="005679AF" w:rsidRPr="00030E52">
        <w:rPr>
          <w:b/>
          <w:bCs/>
          <w:color w:val="000000"/>
          <w:kern w:val="32"/>
          <w:sz w:val="28"/>
          <w:szCs w:val="28"/>
        </w:rPr>
        <w:t xml:space="preserve"> </w:t>
      </w:r>
      <w:r w:rsidR="005679AF" w:rsidRPr="00157653">
        <w:rPr>
          <w:b/>
          <w:bCs/>
          <w:color w:val="000000"/>
          <w:kern w:val="32"/>
          <w:sz w:val="28"/>
          <w:szCs w:val="28"/>
        </w:rPr>
        <w:t>тарифов на тепловую энергию</w:t>
      </w:r>
      <w:r w:rsidR="005679AF">
        <w:rPr>
          <w:b/>
          <w:bCs/>
          <w:color w:val="000000"/>
          <w:kern w:val="32"/>
          <w:sz w:val="28"/>
          <w:szCs w:val="28"/>
        </w:rPr>
        <w:t xml:space="preserve"> (мощность)</w:t>
      </w:r>
      <w:r w:rsidR="005679AF" w:rsidRPr="002213D8">
        <w:rPr>
          <w:b/>
          <w:bCs/>
          <w:color w:val="000000"/>
          <w:kern w:val="32"/>
          <w:sz w:val="28"/>
          <w:szCs w:val="28"/>
        </w:rPr>
        <w:t xml:space="preserve"> по узлу теплоснабжения </w:t>
      </w:r>
      <w:r w:rsidR="005679AF">
        <w:rPr>
          <w:b/>
          <w:bCs/>
          <w:color w:val="000000"/>
          <w:kern w:val="32"/>
          <w:sz w:val="28"/>
          <w:szCs w:val="28"/>
        </w:rPr>
        <w:t xml:space="preserve">п. </w:t>
      </w:r>
      <w:proofErr w:type="spellStart"/>
      <w:r w:rsidR="005679AF">
        <w:rPr>
          <w:b/>
          <w:bCs/>
          <w:color w:val="000000"/>
          <w:kern w:val="32"/>
          <w:sz w:val="28"/>
          <w:szCs w:val="28"/>
        </w:rPr>
        <w:t>Чульжан</w:t>
      </w:r>
      <w:proofErr w:type="spellEnd"/>
      <w:r w:rsidR="005679AF" w:rsidRPr="00157653">
        <w:rPr>
          <w:b/>
          <w:bCs/>
          <w:color w:val="000000"/>
          <w:kern w:val="32"/>
          <w:sz w:val="28"/>
          <w:szCs w:val="28"/>
        </w:rPr>
        <w:t xml:space="preserve">, </w:t>
      </w:r>
      <w:r w:rsidR="005679AF">
        <w:rPr>
          <w:b/>
          <w:bCs/>
          <w:color w:val="000000"/>
          <w:kern w:val="32"/>
          <w:sz w:val="28"/>
          <w:szCs w:val="28"/>
        </w:rPr>
        <w:t xml:space="preserve">реализуемую </w:t>
      </w:r>
      <w:r w:rsidR="005679AF" w:rsidRPr="00157653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:rsidR="00EC05BE" w:rsidRPr="00677C8E" w:rsidRDefault="005679AF" w:rsidP="00BA2DF8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Междуреченск</w:t>
      </w:r>
      <w:r w:rsidR="009B0400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A227F5"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20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68350E" w:rsidRDefault="0068350E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68350E" w:rsidRDefault="0068350E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85C9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 xml:space="preserve">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285C97">
        <w:rPr>
          <w:bCs/>
          <w:color w:val="000000"/>
          <w:kern w:val="32"/>
          <w:sz w:val="28"/>
          <w:szCs w:val="28"/>
        </w:rPr>
        <w:br/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015CDE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>Кемеровской</w:t>
      </w:r>
      <w:r w:rsidR="005679AF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области</w:t>
      </w:r>
      <w:r w:rsidR="005679AF">
        <w:rPr>
          <w:bCs/>
          <w:color w:val="000000"/>
          <w:kern w:val="32"/>
          <w:sz w:val="28"/>
          <w:szCs w:val="28"/>
        </w:rPr>
        <w:t xml:space="preserve"> </w:t>
      </w:r>
      <w:r w:rsidRPr="00BA2DF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BA2DF8">
        <w:rPr>
          <w:bCs/>
          <w:color w:val="000000"/>
          <w:spacing w:val="70"/>
          <w:kern w:val="32"/>
          <w:sz w:val="28"/>
          <w:szCs w:val="28"/>
        </w:rPr>
        <w:t>а</w:t>
      </w:r>
      <w:r w:rsidRPr="00BA2DF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5679AF" w:rsidRDefault="00A27657" w:rsidP="00E8630A">
      <w:pPr>
        <w:numPr>
          <w:ilvl w:val="0"/>
          <w:numId w:val="6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>Установить</w:t>
      </w:r>
      <w:r w:rsidR="00305421">
        <w:rPr>
          <w:bCs/>
          <w:color w:val="000000"/>
          <w:kern w:val="32"/>
          <w:sz w:val="28"/>
          <w:szCs w:val="28"/>
        </w:rPr>
        <w:t xml:space="preserve"> ОАО «</w:t>
      </w:r>
      <w:r w:rsidR="000C101F">
        <w:rPr>
          <w:bCs/>
          <w:color w:val="000000"/>
          <w:kern w:val="32"/>
          <w:sz w:val="28"/>
          <w:szCs w:val="28"/>
        </w:rPr>
        <w:t>РЖД</w:t>
      </w:r>
      <w:r w:rsidR="00305421">
        <w:rPr>
          <w:bCs/>
          <w:color w:val="000000"/>
          <w:kern w:val="32"/>
          <w:sz w:val="28"/>
          <w:szCs w:val="28"/>
        </w:rPr>
        <w:t>»</w:t>
      </w:r>
      <w:r w:rsidR="00285C97" w:rsidRPr="00E8630A">
        <w:rPr>
          <w:bCs/>
          <w:color w:val="000000"/>
          <w:kern w:val="32"/>
          <w:sz w:val="28"/>
          <w:szCs w:val="28"/>
        </w:rPr>
        <w:t xml:space="preserve"> </w:t>
      </w:r>
      <w:r w:rsidR="00285C97" w:rsidRPr="00285C97">
        <w:rPr>
          <w:bCs/>
          <w:color w:val="000000"/>
          <w:kern w:val="32"/>
          <w:sz w:val="28"/>
          <w:szCs w:val="28"/>
        </w:rPr>
        <w:t xml:space="preserve">(филиал </w:t>
      </w:r>
      <w:r w:rsidR="005679AF" w:rsidRPr="005679AF">
        <w:rPr>
          <w:bCs/>
          <w:color w:val="000000"/>
          <w:kern w:val="32"/>
          <w:sz w:val="28"/>
          <w:szCs w:val="28"/>
        </w:rPr>
        <w:t xml:space="preserve">Красноярская дирекция по </w:t>
      </w:r>
      <w:proofErr w:type="spellStart"/>
      <w:r w:rsidR="005679AF" w:rsidRPr="005679A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5679AF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5679AF" w:rsidRPr="005679A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5679AF">
        <w:rPr>
          <w:bCs/>
          <w:color w:val="000000"/>
          <w:kern w:val="32"/>
          <w:sz w:val="28"/>
          <w:szCs w:val="28"/>
        </w:rPr>
        <w:t>)</w:t>
      </w:r>
      <w:r w:rsidR="00305421">
        <w:rPr>
          <w:bCs/>
          <w:color w:val="000000"/>
          <w:kern w:val="32"/>
          <w:sz w:val="28"/>
          <w:szCs w:val="28"/>
        </w:rPr>
        <w:t>,</w:t>
      </w:r>
      <w:r w:rsidR="005679A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5679AF">
        <w:rPr>
          <w:bCs/>
          <w:color w:val="000000"/>
          <w:kern w:val="32"/>
          <w:sz w:val="28"/>
          <w:szCs w:val="28"/>
        </w:rPr>
        <w:t xml:space="preserve">ИНН </w:t>
      </w:r>
      <w:r w:rsidR="00305421" w:rsidRPr="005679AF">
        <w:rPr>
          <w:bCs/>
          <w:color w:val="000000"/>
          <w:kern w:val="32"/>
          <w:sz w:val="28"/>
          <w:szCs w:val="28"/>
        </w:rPr>
        <w:t>7708503727</w:t>
      </w:r>
      <w:r w:rsidR="00326B5B" w:rsidRPr="005679AF">
        <w:rPr>
          <w:bCs/>
          <w:color w:val="000000"/>
          <w:kern w:val="32"/>
          <w:sz w:val="28"/>
          <w:szCs w:val="28"/>
        </w:rPr>
        <w:t>,</w:t>
      </w:r>
      <w:r w:rsidR="00DF59AF" w:rsidRPr="005679AF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5679A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5679A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5679AF">
        <w:rPr>
          <w:bCs/>
          <w:color w:val="000000"/>
          <w:kern w:val="32"/>
          <w:sz w:val="28"/>
          <w:szCs w:val="28"/>
        </w:rPr>
        <w:t xml:space="preserve"> тарифов на тепловую энергию </w:t>
      </w:r>
      <w:r w:rsidR="00E8630A" w:rsidRPr="005679AF">
        <w:rPr>
          <w:bCs/>
          <w:color w:val="000000"/>
          <w:kern w:val="32"/>
          <w:sz w:val="28"/>
          <w:szCs w:val="28"/>
        </w:rPr>
        <w:t>по узлу теплоснабжения</w:t>
      </w:r>
      <w:r w:rsidR="00E8630A" w:rsidRPr="00E8630A">
        <w:rPr>
          <w:bCs/>
          <w:color w:val="000000"/>
          <w:kern w:val="32"/>
          <w:sz w:val="28"/>
          <w:szCs w:val="28"/>
        </w:rPr>
        <w:t xml:space="preserve"> </w:t>
      </w:r>
      <w:r w:rsidR="00E8630A">
        <w:rPr>
          <w:bCs/>
          <w:color w:val="000000"/>
          <w:kern w:val="32"/>
          <w:sz w:val="28"/>
          <w:szCs w:val="28"/>
        </w:rPr>
        <w:t xml:space="preserve">котельная </w:t>
      </w:r>
      <w:r w:rsidR="00E8630A" w:rsidRPr="00E8630A">
        <w:rPr>
          <w:bCs/>
          <w:color w:val="000000"/>
          <w:kern w:val="32"/>
          <w:sz w:val="28"/>
          <w:szCs w:val="28"/>
        </w:rPr>
        <w:t xml:space="preserve">п. </w:t>
      </w:r>
      <w:proofErr w:type="spellStart"/>
      <w:r w:rsidR="00E8630A" w:rsidRPr="00E8630A">
        <w:rPr>
          <w:bCs/>
          <w:color w:val="000000"/>
          <w:kern w:val="32"/>
          <w:sz w:val="28"/>
          <w:szCs w:val="28"/>
        </w:rPr>
        <w:t>Чульжан</w:t>
      </w:r>
      <w:proofErr w:type="spellEnd"/>
      <w:r w:rsidR="00E8630A">
        <w:rPr>
          <w:bCs/>
          <w:color w:val="000000"/>
          <w:kern w:val="32"/>
          <w:sz w:val="28"/>
          <w:szCs w:val="28"/>
        </w:rPr>
        <w:t>,</w:t>
      </w:r>
      <w:r w:rsidR="00E8630A" w:rsidRPr="005679A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5679AF">
        <w:rPr>
          <w:bCs/>
          <w:color w:val="000000"/>
          <w:kern w:val="32"/>
          <w:sz w:val="28"/>
          <w:szCs w:val="28"/>
        </w:rPr>
        <w:t>реализуемую на</w:t>
      </w:r>
      <w:r w:rsidR="009D1548" w:rsidRPr="005679A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5679A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5679A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5679AF">
        <w:rPr>
          <w:bCs/>
          <w:color w:val="000000"/>
          <w:kern w:val="32"/>
          <w:sz w:val="28"/>
          <w:szCs w:val="28"/>
        </w:rPr>
        <w:t>рынке</w:t>
      </w:r>
      <w:r w:rsidR="002A4DF3" w:rsidRPr="005679AF">
        <w:rPr>
          <w:bCs/>
          <w:color w:val="000000"/>
          <w:kern w:val="32"/>
          <w:sz w:val="28"/>
          <w:szCs w:val="28"/>
        </w:rPr>
        <w:t xml:space="preserve"> </w:t>
      </w:r>
      <w:r w:rsidR="003B2BD8" w:rsidRPr="005679AF">
        <w:rPr>
          <w:bCs/>
          <w:color w:val="000000"/>
          <w:kern w:val="32"/>
          <w:sz w:val="28"/>
          <w:szCs w:val="28"/>
        </w:rPr>
        <w:t xml:space="preserve">г. </w:t>
      </w:r>
      <w:r w:rsidR="005679AF">
        <w:rPr>
          <w:bCs/>
          <w:color w:val="000000"/>
          <w:kern w:val="32"/>
          <w:sz w:val="28"/>
          <w:szCs w:val="28"/>
        </w:rPr>
        <w:t>Междуреченск</w:t>
      </w:r>
      <w:r w:rsidR="002A4DF3" w:rsidRPr="005679AF">
        <w:rPr>
          <w:bCs/>
          <w:color w:val="000000"/>
          <w:kern w:val="32"/>
          <w:sz w:val="28"/>
          <w:szCs w:val="28"/>
        </w:rPr>
        <w:t>,</w:t>
      </w:r>
      <w:r w:rsidR="008F0D48" w:rsidRPr="005679AF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5679AF">
        <w:rPr>
          <w:bCs/>
          <w:color w:val="000000"/>
          <w:kern w:val="32"/>
          <w:sz w:val="28"/>
          <w:szCs w:val="28"/>
        </w:rPr>
        <w:t xml:space="preserve"> </w:t>
      </w:r>
      <w:r w:rsidR="005B1DE8" w:rsidRPr="005679AF">
        <w:rPr>
          <w:bCs/>
          <w:color w:val="000000"/>
          <w:kern w:val="32"/>
          <w:sz w:val="28"/>
          <w:szCs w:val="28"/>
        </w:rPr>
        <w:t>с 01.01.201</w:t>
      </w:r>
      <w:r w:rsidR="00305421" w:rsidRPr="005679AF">
        <w:rPr>
          <w:bCs/>
          <w:color w:val="000000"/>
          <w:kern w:val="32"/>
          <w:sz w:val="28"/>
          <w:szCs w:val="28"/>
        </w:rPr>
        <w:t>8</w:t>
      </w:r>
      <w:r w:rsidR="005B1DE8" w:rsidRPr="005679A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5679AF">
        <w:rPr>
          <w:bCs/>
          <w:color w:val="000000"/>
          <w:kern w:val="32"/>
          <w:sz w:val="28"/>
          <w:szCs w:val="28"/>
        </w:rPr>
        <w:t>20</w:t>
      </w:r>
      <w:r w:rsidR="008F0D48" w:rsidRPr="005679A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5679AF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DF59AF" w:rsidRPr="005679A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285C97">
      <w:pPr>
        <w:numPr>
          <w:ilvl w:val="0"/>
          <w:numId w:val="6"/>
        </w:numPr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285C97" w:rsidRPr="00285C97">
        <w:rPr>
          <w:bCs/>
          <w:color w:val="000000"/>
          <w:kern w:val="32"/>
          <w:sz w:val="28"/>
          <w:szCs w:val="28"/>
        </w:rPr>
        <w:t xml:space="preserve">ОАО «РЖД» (филиал </w:t>
      </w:r>
      <w:r w:rsidR="005679AF" w:rsidRPr="005679AF">
        <w:rPr>
          <w:bCs/>
          <w:color w:val="000000"/>
          <w:kern w:val="32"/>
          <w:sz w:val="28"/>
          <w:szCs w:val="28"/>
        </w:rPr>
        <w:t xml:space="preserve">Красноярская дирекция по </w:t>
      </w:r>
      <w:proofErr w:type="spellStart"/>
      <w:r w:rsidR="005679AF" w:rsidRPr="005679A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5679AF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5679AF" w:rsidRPr="005679AF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5679AF">
        <w:rPr>
          <w:bCs/>
          <w:color w:val="000000"/>
          <w:kern w:val="32"/>
          <w:sz w:val="28"/>
          <w:szCs w:val="28"/>
        </w:rPr>
        <w:t>)</w:t>
      </w:r>
      <w:r w:rsidR="00E8630A">
        <w:rPr>
          <w:bCs/>
          <w:color w:val="000000"/>
          <w:kern w:val="32"/>
          <w:sz w:val="28"/>
          <w:szCs w:val="28"/>
        </w:rPr>
        <w:t>,</w:t>
      </w:r>
      <w:r w:rsidR="005679AF" w:rsidRPr="005679AF">
        <w:rPr>
          <w:bCs/>
          <w:color w:val="000000"/>
          <w:kern w:val="32"/>
          <w:sz w:val="28"/>
          <w:szCs w:val="28"/>
        </w:rPr>
        <w:t xml:space="preserve"> </w:t>
      </w:r>
      <w:r w:rsidR="00E8630A">
        <w:rPr>
          <w:bCs/>
          <w:color w:val="000000"/>
          <w:kern w:val="32"/>
          <w:sz w:val="28"/>
          <w:szCs w:val="28"/>
        </w:rPr>
        <w:t>ИНН 7708503727, долгосрочные</w:t>
      </w:r>
      <w:r w:rsidR="00E8630A" w:rsidRPr="005679AF">
        <w:rPr>
          <w:bCs/>
          <w:color w:val="000000"/>
          <w:kern w:val="32"/>
          <w:sz w:val="28"/>
          <w:szCs w:val="28"/>
        </w:rPr>
        <w:t xml:space="preserve"> </w:t>
      </w:r>
      <w:r w:rsidR="005679AF" w:rsidRPr="005679AF">
        <w:rPr>
          <w:bCs/>
          <w:color w:val="000000"/>
          <w:kern w:val="32"/>
          <w:sz w:val="28"/>
          <w:szCs w:val="28"/>
        </w:rPr>
        <w:t>тариф</w:t>
      </w:r>
      <w:r w:rsidR="00E8630A">
        <w:rPr>
          <w:bCs/>
          <w:color w:val="000000"/>
          <w:kern w:val="32"/>
          <w:sz w:val="28"/>
          <w:szCs w:val="28"/>
        </w:rPr>
        <w:t>ы</w:t>
      </w:r>
      <w:r w:rsidR="005679AF" w:rsidRPr="005679AF">
        <w:rPr>
          <w:bCs/>
          <w:color w:val="000000"/>
          <w:kern w:val="32"/>
          <w:sz w:val="28"/>
          <w:szCs w:val="28"/>
        </w:rPr>
        <w:t xml:space="preserve"> на тепловую </w:t>
      </w:r>
      <w:r w:rsidR="005679AF" w:rsidRPr="005679AF">
        <w:rPr>
          <w:bCs/>
          <w:color w:val="000000"/>
          <w:kern w:val="32"/>
          <w:sz w:val="28"/>
          <w:szCs w:val="28"/>
        </w:rPr>
        <w:lastRenderedPageBreak/>
        <w:t xml:space="preserve">энергию по узлу теплоснабжения п. </w:t>
      </w:r>
      <w:proofErr w:type="spellStart"/>
      <w:r w:rsidR="005679AF" w:rsidRPr="005679AF">
        <w:rPr>
          <w:bCs/>
          <w:color w:val="000000"/>
          <w:kern w:val="32"/>
          <w:sz w:val="28"/>
          <w:szCs w:val="28"/>
        </w:rPr>
        <w:t>Чульжан</w:t>
      </w:r>
      <w:proofErr w:type="spellEnd"/>
      <w:r w:rsidR="005679AF" w:rsidRPr="005679AF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 w:rsidR="00E8630A">
        <w:rPr>
          <w:bCs/>
          <w:color w:val="000000"/>
          <w:kern w:val="32"/>
          <w:sz w:val="28"/>
          <w:szCs w:val="28"/>
        </w:rPr>
        <w:t xml:space="preserve"> </w:t>
      </w:r>
      <w:r w:rsidR="005679AF" w:rsidRPr="005679AF">
        <w:rPr>
          <w:bCs/>
          <w:color w:val="000000"/>
          <w:kern w:val="32"/>
          <w:sz w:val="28"/>
          <w:szCs w:val="28"/>
        </w:rPr>
        <w:t>г. Междуреченск</w:t>
      </w:r>
      <w:r w:rsidR="00285C97" w:rsidRPr="00285C97">
        <w:rPr>
          <w:bCs/>
          <w:color w:val="000000"/>
          <w:kern w:val="32"/>
          <w:sz w:val="28"/>
          <w:szCs w:val="28"/>
        </w:rPr>
        <w:t>,</w:t>
      </w:r>
      <w:r w:rsidR="00BA2DF8">
        <w:rPr>
          <w:bCs/>
          <w:color w:val="000000"/>
          <w:kern w:val="32"/>
          <w:sz w:val="28"/>
          <w:szCs w:val="28"/>
        </w:rPr>
        <w:t xml:space="preserve"> </w:t>
      </w:r>
      <w:r w:rsidR="008F0D48">
        <w:rPr>
          <w:bCs/>
          <w:color w:val="000000"/>
          <w:kern w:val="32"/>
          <w:sz w:val="28"/>
          <w:szCs w:val="28"/>
        </w:rPr>
        <w:t xml:space="preserve">на период с </w:t>
      </w:r>
      <w:r w:rsidR="00FC33EE">
        <w:rPr>
          <w:bCs/>
          <w:color w:val="000000"/>
          <w:kern w:val="32"/>
          <w:sz w:val="28"/>
          <w:szCs w:val="28"/>
        </w:rPr>
        <w:t>01.01.201</w:t>
      </w:r>
      <w:r w:rsidR="00305421">
        <w:rPr>
          <w:bCs/>
          <w:color w:val="000000"/>
          <w:kern w:val="32"/>
          <w:sz w:val="28"/>
          <w:szCs w:val="28"/>
        </w:rPr>
        <w:t>8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20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0B262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5679AF" w:rsidRDefault="005679A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</w:t>
      </w:r>
      <w:r w:rsidR="00FC33EE">
        <w:rPr>
          <w:color w:val="000000"/>
          <w:sz w:val="28"/>
          <w:szCs w:val="28"/>
        </w:rPr>
        <w:t xml:space="preserve"> </w:t>
      </w:r>
      <w:r w:rsidR="00E8630A">
        <w:rPr>
          <w:color w:val="000000"/>
          <w:sz w:val="28"/>
          <w:szCs w:val="28"/>
        </w:rPr>
        <w:t xml:space="preserve">          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3E75C7" w:rsidRDefault="003E75C7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3E75C7" w:rsidRDefault="003E75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8350E" w:rsidRDefault="0068350E" w:rsidP="0068350E">
      <w:pPr>
        <w:rPr>
          <w:sz w:val="28"/>
          <w:szCs w:val="28"/>
          <w:lang w:eastAsia="ru-RU"/>
        </w:rPr>
        <w:sectPr w:rsidR="0068350E" w:rsidSect="00BA2D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7" w:bottom="1134" w:left="1701" w:header="680" w:footer="709" w:gutter="0"/>
          <w:cols w:space="708"/>
          <w:docGrid w:linePitch="360"/>
        </w:sectPr>
      </w:pPr>
    </w:p>
    <w:p w:rsidR="009A4490" w:rsidRDefault="008F0D48" w:rsidP="00285C9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285C9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3B6590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3D4153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0776D2">
        <w:rPr>
          <w:color w:val="000000"/>
          <w:sz w:val="28"/>
          <w:szCs w:val="28"/>
          <w:lang w:eastAsia="ru-RU"/>
        </w:rPr>
        <w:t>декабря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411C4B">
        <w:rPr>
          <w:sz w:val="28"/>
          <w:szCs w:val="28"/>
          <w:lang w:eastAsia="ru-RU"/>
        </w:rPr>
        <w:t>7</w:t>
      </w:r>
      <w:r w:rsidRPr="008F0D48">
        <w:rPr>
          <w:sz w:val="28"/>
          <w:szCs w:val="28"/>
          <w:lang w:eastAsia="ru-RU"/>
        </w:rPr>
        <w:t xml:space="preserve"> г. № </w:t>
      </w:r>
      <w:r w:rsidR="003D4153">
        <w:rPr>
          <w:sz w:val="28"/>
          <w:szCs w:val="28"/>
          <w:lang w:eastAsia="ru-RU"/>
        </w:rPr>
        <w:t>624</w:t>
      </w:r>
      <w:r w:rsidRPr="008F0D48">
        <w:rPr>
          <w:sz w:val="28"/>
          <w:szCs w:val="28"/>
          <w:lang w:eastAsia="ru-RU"/>
        </w:rPr>
        <w:t xml:space="preserve"> </w:t>
      </w:r>
    </w:p>
    <w:p w:rsidR="008F0D48" w:rsidRPr="008F0D48" w:rsidRDefault="008F0D48" w:rsidP="00D4279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ОАО «РЖД» (филиал </w:t>
      </w:r>
      <w:r w:rsidR="005679AF">
        <w:rPr>
          <w:b/>
          <w:bCs/>
          <w:color w:val="000000"/>
          <w:kern w:val="32"/>
          <w:sz w:val="28"/>
          <w:szCs w:val="28"/>
        </w:rPr>
        <w:t xml:space="preserve">Красноярская </w:t>
      </w:r>
      <w:r w:rsidR="005679AF" w:rsidRPr="002213D8">
        <w:rPr>
          <w:b/>
          <w:bCs/>
          <w:color w:val="000000"/>
          <w:kern w:val="32"/>
          <w:sz w:val="28"/>
          <w:szCs w:val="28"/>
        </w:rPr>
        <w:t>дирекци</w:t>
      </w:r>
      <w:r w:rsidR="005679AF">
        <w:rPr>
          <w:b/>
          <w:bCs/>
          <w:color w:val="000000"/>
          <w:kern w:val="32"/>
          <w:sz w:val="28"/>
          <w:szCs w:val="28"/>
        </w:rPr>
        <w:t>я</w:t>
      </w:r>
      <w:r w:rsidR="005679AF" w:rsidRPr="002213D8">
        <w:rPr>
          <w:b/>
          <w:bCs/>
          <w:color w:val="000000"/>
          <w:kern w:val="32"/>
          <w:sz w:val="28"/>
          <w:szCs w:val="28"/>
        </w:rPr>
        <w:t xml:space="preserve"> по </w:t>
      </w:r>
      <w:proofErr w:type="spellStart"/>
      <w:r w:rsidR="005679AF" w:rsidRPr="002213D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2213D8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5679AF" w:rsidRPr="002213D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2213D8">
        <w:rPr>
          <w:b/>
          <w:bCs/>
          <w:color w:val="000000"/>
          <w:kern w:val="32"/>
          <w:sz w:val="28"/>
          <w:szCs w:val="28"/>
        </w:rPr>
        <w:t xml:space="preserve">)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E8630A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 xml:space="preserve">реализуемую </w:t>
      </w:r>
      <w:r w:rsidR="00E8630A">
        <w:rPr>
          <w:b/>
          <w:bCs/>
          <w:color w:val="000000"/>
          <w:kern w:val="32"/>
          <w:sz w:val="28"/>
          <w:szCs w:val="28"/>
        </w:rPr>
        <w:t xml:space="preserve">по узлу теплоснабжения котельная п. </w:t>
      </w:r>
      <w:proofErr w:type="spellStart"/>
      <w:r w:rsidR="00E8630A">
        <w:rPr>
          <w:b/>
          <w:bCs/>
          <w:color w:val="000000"/>
          <w:kern w:val="32"/>
          <w:sz w:val="28"/>
          <w:szCs w:val="28"/>
        </w:rPr>
        <w:t>Чульжан</w:t>
      </w:r>
      <w:proofErr w:type="spellEnd"/>
      <w:r w:rsidR="00E8630A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E8630A">
        <w:rPr>
          <w:b/>
          <w:bCs/>
          <w:color w:val="000000"/>
          <w:kern w:val="32"/>
          <w:sz w:val="28"/>
          <w:szCs w:val="28"/>
        </w:rPr>
        <w:br/>
      </w:r>
      <w:r w:rsidR="003B2BD8">
        <w:rPr>
          <w:b/>
          <w:bCs/>
          <w:color w:val="000000"/>
          <w:kern w:val="32"/>
          <w:sz w:val="28"/>
          <w:szCs w:val="28"/>
        </w:rPr>
        <w:t xml:space="preserve">г. </w:t>
      </w:r>
      <w:r w:rsidR="005679AF">
        <w:rPr>
          <w:b/>
          <w:bCs/>
          <w:color w:val="000000"/>
          <w:kern w:val="32"/>
          <w:sz w:val="28"/>
          <w:szCs w:val="28"/>
        </w:rPr>
        <w:t>Междуреченс</w:t>
      </w:r>
      <w:r w:rsidR="00E8630A">
        <w:rPr>
          <w:b/>
          <w:bCs/>
          <w:color w:val="000000"/>
          <w:kern w:val="32"/>
          <w:sz w:val="28"/>
          <w:szCs w:val="28"/>
        </w:rPr>
        <w:t>к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01.01.201</w:t>
      </w:r>
      <w:r w:rsidR="00411C4B">
        <w:rPr>
          <w:b/>
          <w:bCs/>
          <w:color w:val="000000"/>
          <w:kern w:val="32"/>
          <w:sz w:val="28"/>
          <w:szCs w:val="28"/>
        </w:rPr>
        <w:t>8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20</w:t>
      </w:r>
    </w:p>
    <w:tbl>
      <w:tblPr>
        <w:tblStyle w:val="aa"/>
        <w:tblpPr w:leftFromText="180" w:rightFromText="180" w:vertAnchor="text" w:horzAnchor="margin" w:tblpXSpec="center" w:tblpY="418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851"/>
        <w:gridCol w:w="850"/>
        <w:gridCol w:w="1134"/>
        <w:gridCol w:w="1276"/>
        <w:gridCol w:w="1276"/>
        <w:gridCol w:w="1134"/>
      </w:tblGrid>
      <w:tr w:rsidR="00285C97" w:rsidRPr="002D61DB" w:rsidTr="00285C97">
        <w:trPr>
          <w:trHeight w:val="1959"/>
        </w:trPr>
        <w:tc>
          <w:tcPr>
            <w:tcW w:w="1809" w:type="dxa"/>
            <w:vMerge w:val="restart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85C97" w:rsidRPr="002D61DB" w:rsidRDefault="00285C97" w:rsidP="00285C97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Базовый</w:t>
            </w:r>
          </w:p>
          <w:p w:rsidR="00285C97" w:rsidRPr="002D61DB" w:rsidRDefault="00285C97" w:rsidP="00285C97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285C97" w:rsidRPr="002D61DB" w:rsidRDefault="00285C97" w:rsidP="00285C97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4" w:type="dxa"/>
            <w:vMerge w:val="restart"/>
            <w:vAlign w:val="center"/>
          </w:tcPr>
          <w:p w:rsidR="00285C97" w:rsidRDefault="00285C97" w:rsidP="00285C97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285C97" w:rsidRPr="002D61DB" w:rsidRDefault="00285C97" w:rsidP="00285C97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35797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285C97" w:rsidRPr="002D61DB" w:rsidRDefault="00285C97" w:rsidP="00285C97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285C97" w:rsidRDefault="00285C97" w:rsidP="00285C97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>
              <w:t>-</w:t>
            </w:r>
          </w:p>
          <w:p w:rsidR="00285C97" w:rsidRPr="002D61DB" w:rsidRDefault="00285C97" w:rsidP="00285C97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285C97" w:rsidRPr="002D61DB" w:rsidTr="00285C97">
        <w:trPr>
          <w:trHeight w:val="165"/>
        </w:trPr>
        <w:tc>
          <w:tcPr>
            <w:tcW w:w="1809" w:type="dxa"/>
            <w:vMerge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4" w:type="dxa"/>
            <w:vMerge/>
            <w:vAlign w:val="center"/>
          </w:tcPr>
          <w:p w:rsidR="00285C97" w:rsidRPr="002D61DB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5C97" w:rsidRPr="002D61DB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85C97" w:rsidRPr="002D61DB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85C97" w:rsidRPr="002D61DB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85C97" w:rsidRPr="00384A9C" w:rsidTr="00285C97">
        <w:trPr>
          <w:trHeight w:val="893"/>
        </w:trPr>
        <w:tc>
          <w:tcPr>
            <w:tcW w:w="1809" w:type="dxa"/>
            <w:vMerge w:val="restart"/>
            <w:vAlign w:val="center"/>
          </w:tcPr>
          <w:p w:rsidR="00285C97" w:rsidRPr="004C6F4E" w:rsidRDefault="00285C97" w:rsidP="00285C97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>ОАО «</w:t>
            </w:r>
            <w:r>
              <w:rPr>
                <w:bCs/>
                <w:color w:val="000000"/>
                <w:kern w:val="32"/>
              </w:rPr>
              <w:t>РЖД» (филиал</w:t>
            </w:r>
            <w:r w:rsidR="009B0400">
              <w:rPr>
                <w:bCs/>
                <w:color w:val="000000"/>
                <w:kern w:val="32"/>
              </w:rPr>
              <w:t xml:space="preserve"> Красноярская дирекция по </w:t>
            </w:r>
            <w:proofErr w:type="spellStart"/>
            <w:r w:rsidR="009B0400">
              <w:rPr>
                <w:bCs/>
                <w:color w:val="000000"/>
                <w:kern w:val="32"/>
              </w:rPr>
              <w:t>тепловодо</w:t>
            </w:r>
            <w:proofErr w:type="spellEnd"/>
            <w:r w:rsidR="000B0DAF">
              <w:rPr>
                <w:bCs/>
                <w:color w:val="000000"/>
                <w:kern w:val="32"/>
              </w:rPr>
              <w:t>-</w:t>
            </w:r>
            <w:r w:rsidR="009B0400">
              <w:rPr>
                <w:bCs/>
                <w:color w:val="000000"/>
                <w:kern w:val="32"/>
              </w:rPr>
              <w:t xml:space="preserve">снабжению – структурное подразделение Центральной дирекции по </w:t>
            </w:r>
            <w:proofErr w:type="spellStart"/>
            <w:r w:rsidR="009B0400">
              <w:rPr>
                <w:bCs/>
                <w:color w:val="000000"/>
                <w:kern w:val="32"/>
              </w:rPr>
              <w:t>тепловодо</w:t>
            </w:r>
            <w:proofErr w:type="spellEnd"/>
            <w:r w:rsidR="000B0DAF">
              <w:rPr>
                <w:bCs/>
                <w:color w:val="000000"/>
                <w:kern w:val="32"/>
              </w:rPr>
              <w:t>-</w:t>
            </w:r>
            <w:r w:rsidR="009B0400">
              <w:rPr>
                <w:bCs/>
                <w:color w:val="000000"/>
                <w:kern w:val="32"/>
              </w:rPr>
              <w:t>снабжению</w:t>
            </w:r>
            <w:r>
              <w:rPr>
                <w:bCs/>
                <w:color w:val="000000"/>
                <w:kern w:val="32"/>
              </w:rPr>
              <w:t>)</w:t>
            </w:r>
            <w:r w:rsidR="009B0400">
              <w:rPr>
                <w:bCs/>
                <w:color w:val="000000"/>
                <w:kern w:val="32"/>
              </w:rPr>
              <w:t xml:space="preserve"> узел теплоснабжения -</w:t>
            </w:r>
          </w:p>
          <w:p w:rsidR="000B0DAF" w:rsidRDefault="000B0DAF" w:rsidP="00285C97">
            <w:pPr>
              <w:ind w:left="-220" w:right="-125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>К</w:t>
            </w:r>
            <w:r w:rsidR="009B0400">
              <w:rPr>
                <w:bCs/>
                <w:kern w:val="32"/>
              </w:rPr>
              <w:t>отельная</w:t>
            </w:r>
          </w:p>
          <w:p w:rsidR="00285C97" w:rsidRPr="00384A9C" w:rsidRDefault="009B0400" w:rsidP="00285C97">
            <w:pPr>
              <w:ind w:left="-220" w:right="-125"/>
              <w:jc w:val="center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п. </w:t>
            </w:r>
            <w:proofErr w:type="spellStart"/>
            <w:r>
              <w:rPr>
                <w:bCs/>
                <w:kern w:val="32"/>
              </w:rPr>
              <w:t>Чульжан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  <w:r w:rsidRPr="00DF6823">
              <w:t>201</w:t>
            </w:r>
            <w: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022C83" w:rsidRDefault="00285C97" w:rsidP="00285C97">
            <w:pPr>
              <w:ind w:left="-108" w:right="-2" w:firstLine="1"/>
              <w:jc w:val="center"/>
              <w:rPr>
                <w:highlight w:val="yellow"/>
              </w:rPr>
            </w:pPr>
            <w:r>
              <w:t>1</w:t>
            </w:r>
            <w:r w:rsidR="00235A65">
              <w:t>818,76</w:t>
            </w:r>
          </w:p>
        </w:tc>
        <w:tc>
          <w:tcPr>
            <w:tcW w:w="851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 w:rsidRPr="00022C83"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85C97" w:rsidRPr="00117A53" w:rsidRDefault="00285C97" w:rsidP="00285C97">
            <w:pPr>
              <w:jc w:val="center"/>
            </w:pPr>
            <w:r>
              <w:t>0,00</w:t>
            </w:r>
            <w:r w:rsidRPr="00117A53">
              <w:t xml:space="preserve"> разы/км</w:t>
            </w:r>
          </w:p>
        </w:tc>
        <w:tc>
          <w:tcPr>
            <w:tcW w:w="1276" w:type="dxa"/>
            <w:vAlign w:val="center"/>
          </w:tcPr>
          <w:p w:rsidR="00285C97" w:rsidRPr="00117A53" w:rsidRDefault="00285C97" w:rsidP="00285C97">
            <w:pPr>
              <w:ind w:left="-108" w:right="-108"/>
              <w:jc w:val="center"/>
            </w:pPr>
            <w:r>
              <w:t>206,99</w:t>
            </w:r>
          </w:p>
          <w:p w:rsidR="00285C97" w:rsidRPr="003B2BD8" w:rsidRDefault="00285C97" w:rsidP="00285C97">
            <w:pPr>
              <w:ind w:left="-108" w:right="-108"/>
              <w:jc w:val="center"/>
              <w:rPr>
                <w:color w:val="FF0000"/>
              </w:rPr>
            </w:pPr>
            <w:proofErr w:type="spellStart"/>
            <w:r w:rsidRPr="00117A53">
              <w:t>кгут</w:t>
            </w:r>
            <w:proofErr w:type="spellEnd"/>
            <w:r w:rsidRPr="00117A53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285C97" w:rsidRPr="00DF6823" w:rsidRDefault="00285C97" w:rsidP="00285C97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384A9C" w:rsidRDefault="00285C97" w:rsidP="00285C97">
            <w:pPr>
              <w:jc w:val="center"/>
            </w:pPr>
            <w:r w:rsidRPr="00384A9C">
              <w:t>x</w:t>
            </w: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85C97" w:rsidRPr="00DF682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285C97" w:rsidRPr="00117A53" w:rsidRDefault="00285C97" w:rsidP="00285C97">
            <w:pPr>
              <w:ind w:right="-2"/>
              <w:jc w:val="center"/>
            </w:pPr>
            <w:r>
              <w:t>0,00 разы/</w:t>
            </w:r>
            <w:r w:rsidRPr="00117A53">
              <w:t>Гкал/час</w:t>
            </w:r>
          </w:p>
        </w:tc>
        <w:tc>
          <w:tcPr>
            <w:tcW w:w="1276" w:type="dxa"/>
            <w:vAlign w:val="center"/>
          </w:tcPr>
          <w:p w:rsidR="00285C97" w:rsidRPr="00AF0DED" w:rsidRDefault="00285C97" w:rsidP="00285C97">
            <w:pPr>
              <w:jc w:val="center"/>
            </w:pPr>
            <w:r>
              <w:t>0,00</w:t>
            </w:r>
          </w:p>
          <w:p w:rsidR="00285C97" w:rsidRPr="003B2BD8" w:rsidRDefault="00285C97" w:rsidP="00285C97">
            <w:pPr>
              <w:jc w:val="center"/>
              <w:rPr>
                <w:color w:val="FF0000"/>
                <w:vertAlign w:val="superscript"/>
              </w:rPr>
            </w:pPr>
            <w:r w:rsidRPr="00AF0DED">
              <w:t>Гкал/м</w:t>
            </w:r>
            <w:r w:rsidRPr="00AF0DED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85C97" w:rsidRPr="00DF6823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85C97" w:rsidRPr="00DF682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117A53" w:rsidRDefault="00285C97" w:rsidP="00285C97">
            <w:pPr>
              <w:ind w:right="-2"/>
              <w:jc w:val="center"/>
            </w:pP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3B2BD8" w:rsidRDefault="00285C97" w:rsidP="00285C97">
            <w:pPr>
              <w:jc w:val="center"/>
              <w:rPr>
                <w:color w:val="FF0000"/>
              </w:rPr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285C97" w:rsidRPr="00DF6823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022C83" w:rsidRDefault="00285C97" w:rsidP="00285C97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  <w:p w:rsidR="00285C97" w:rsidRPr="00022C83" w:rsidRDefault="00285C97" w:rsidP="00285C97">
            <w:pPr>
              <w:ind w:right="-2"/>
              <w:jc w:val="center"/>
            </w:pPr>
            <w:r w:rsidRPr="00022C83">
              <w:t>1,00</w:t>
            </w:r>
          </w:p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85C97" w:rsidRDefault="00285C97" w:rsidP="00285C97">
            <w:pPr>
              <w:jc w:val="center"/>
            </w:pPr>
            <w:r>
              <w:t>0,00</w:t>
            </w:r>
          </w:p>
          <w:p w:rsidR="00285C97" w:rsidRPr="00117A53" w:rsidRDefault="00285C97" w:rsidP="00285C97">
            <w:pPr>
              <w:jc w:val="center"/>
            </w:pPr>
            <w:r w:rsidRPr="00117A53">
              <w:t>разы/км</w:t>
            </w: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ind w:left="-108" w:firstLine="60"/>
              <w:jc w:val="center"/>
            </w:pPr>
            <w:r>
              <w:t>206,99</w:t>
            </w:r>
            <w:r w:rsidRPr="005A34B7">
              <w:t xml:space="preserve"> </w:t>
            </w:r>
            <w:proofErr w:type="spellStart"/>
            <w:r w:rsidRPr="005A34B7">
              <w:t>кгут</w:t>
            </w:r>
            <w:proofErr w:type="spellEnd"/>
            <w:r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285C97" w:rsidRPr="00DF6823" w:rsidRDefault="00285C97" w:rsidP="00285C97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384A9C" w:rsidRDefault="00285C97" w:rsidP="00285C97">
            <w:pPr>
              <w:jc w:val="center"/>
            </w:pPr>
            <w:r w:rsidRPr="00384A9C">
              <w:t>x</w:t>
            </w: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285C97" w:rsidRPr="00117A53" w:rsidRDefault="00285C97" w:rsidP="00285C97">
            <w:pPr>
              <w:ind w:right="-2"/>
              <w:jc w:val="center"/>
            </w:pPr>
            <w:r w:rsidRPr="00117A53">
              <w:t xml:space="preserve">0,00 </w:t>
            </w:r>
            <w:r>
              <w:t>разы/</w:t>
            </w:r>
            <w:r w:rsidRPr="00117A53">
              <w:t>Гкал/час</w:t>
            </w: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5A34B7" w:rsidRDefault="00285C97" w:rsidP="00285C97">
            <w:pPr>
              <w:jc w:val="center"/>
              <w:rPr>
                <w:vertAlign w:val="superscript"/>
              </w:rPr>
            </w:pPr>
            <w:r w:rsidRPr="005A34B7">
              <w:t>Гкал/м</w:t>
            </w:r>
            <w:r w:rsidRPr="005A34B7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85C97" w:rsidRPr="00DF6823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117A53" w:rsidRDefault="00285C97" w:rsidP="00285C97">
            <w:pPr>
              <w:ind w:right="-2"/>
              <w:jc w:val="center"/>
            </w:pP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5A34B7" w:rsidRDefault="00285C97" w:rsidP="00285C97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285C97" w:rsidRPr="00DF6823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  <w:r w:rsidRPr="00DF6823">
              <w:t>20</w:t>
            </w:r>
            <w: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022C83" w:rsidRDefault="00285C97" w:rsidP="00285C97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85C97" w:rsidRDefault="00285C97" w:rsidP="00285C97">
            <w:pPr>
              <w:jc w:val="center"/>
            </w:pPr>
            <w:r>
              <w:t>0,00</w:t>
            </w:r>
          </w:p>
          <w:p w:rsidR="00285C97" w:rsidRPr="00117A53" w:rsidRDefault="00285C97" w:rsidP="00285C97">
            <w:pPr>
              <w:jc w:val="center"/>
            </w:pPr>
            <w:r w:rsidRPr="00117A53">
              <w:t>разы/км</w:t>
            </w: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206,99</w:t>
            </w:r>
            <w:r w:rsidRPr="005A34B7">
              <w:t xml:space="preserve"> </w:t>
            </w:r>
            <w:proofErr w:type="spellStart"/>
            <w:r w:rsidRPr="005A34B7">
              <w:t>кгут</w:t>
            </w:r>
            <w:proofErr w:type="spellEnd"/>
            <w:r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285C97" w:rsidRPr="00DF6823" w:rsidRDefault="00285C97" w:rsidP="00285C97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384A9C" w:rsidRDefault="00285C97" w:rsidP="00285C97">
            <w:pPr>
              <w:jc w:val="center"/>
            </w:pPr>
            <w:r w:rsidRPr="00384A9C">
              <w:t>x</w:t>
            </w:r>
          </w:p>
        </w:tc>
      </w:tr>
      <w:tr w:rsidR="00285C97" w:rsidRPr="00384A9C" w:rsidTr="00285C97">
        <w:tc>
          <w:tcPr>
            <w:tcW w:w="1809" w:type="dxa"/>
            <w:vMerge/>
          </w:tcPr>
          <w:p w:rsidR="00285C97" w:rsidRPr="00384A9C" w:rsidRDefault="00285C97" w:rsidP="00285C9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85C97" w:rsidRPr="00384A9C" w:rsidRDefault="00285C97" w:rsidP="00285C9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85C97" w:rsidRPr="00117A53" w:rsidRDefault="00285C97" w:rsidP="00285C97">
            <w:pPr>
              <w:ind w:right="-2"/>
              <w:jc w:val="center"/>
            </w:pPr>
            <w:r>
              <w:t>0,00 разы/</w:t>
            </w:r>
            <w:r w:rsidRPr="00117A53">
              <w:t>Гкал/час</w:t>
            </w: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5A34B7" w:rsidRDefault="00285C97" w:rsidP="00285C97">
            <w:pPr>
              <w:jc w:val="center"/>
            </w:pPr>
            <w:r w:rsidRPr="005A34B7">
              <w:t xml:space="preserve"> Гкал/м</w:t>
            </w:r>
            <w:r w:rsidRPr="005A34B7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85C97" w:rsidRPr="00384A9C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</w:tcPr>
          <w:p w:rsidR="00285C97" w:rsidRPr="00384A9C" w:rsidRDefault="00285C97" w:rsidP="00285C9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85C97" w:rsidRPr="00384A9C" w:rsidRDefault="00285C97" w:rsidP="00285C9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5A34B7" w:rsidRDefault="00285C97" w:rsidP="00285C97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</w:tcPr>
          <w:p w:rsidR="00285C97" w:rsidRPr="00384A9C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</w:tbl>
    <w:p w:rsidR="003E75C7" w:rsidRPr="009A4490" w:rsidRDefault="003E75C7" w:rsidP="00CD1EE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Pr="00384A9C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A49EB" w:rsidRPr="000A49EB" w:rsidRDefault="00375EC1" w:rsidP="000A49EB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="0068350E">
        <w:rPr>
          <w:sz w:val="28"/>
          <w:szCs w:val="28"/>
          <w:lang w:eastAsia="ru-RU"/>
        </w:rPr>
        <w:br w:type="page"/>
      </w:r>
    </w:p>
    <w:p w:rsidR="000A49EB" w:rsidRDefault="000A49EB" w:rsidP="00344429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0A49EB" w:rsidRDefault="000A49EB" w:rsidP="00344429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0A49EB" w:rsidRDefault="000A49EB" w:rsidP="00344429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3D4153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2017</w:t>
      </w:r>
      <w:r w:rsidRPr="008F0D48">
        <w:rPr>
          <w:sz w:val="28"/>
          <w:szCs w:val="28"/>
          <w:lang w:eastAsia="ru-RU"/>
        </w:rPr>
        <w:t xml:space="preserve"> г. № </w:t>
      </w:r>
      <w:r w:rsidR="003D4153">
        <w:rPr>
          <w:sz w:val="28"/>
          <w:szCs w:val="28"/>
          <w:lang w:eastAsia="ru-RU"/>
        </w:rPr>
        <w:t>624</w:t>
      </w: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 </w:t>
      </w:r>
    </w:p>
    <w:p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:rsidR="00DB0327" w:rsidRPr="00CA39E0" w:rsidRDefault="00FB0C22" w:rsidP="00DA5052">
      <w:pPr>
        <w:ind w:right="-426"/>
        <w:jc w:val="center"/>
        <w:rPr>
          <w:b/>
          <w:bCs/>
          <w:color w:val="000000"/>
          <w:kern w:val="32"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 xml:space="preserve">ОАО «РЖД» (филиал </w:t>
      </w:r>
      <w:r w:rsidR="005679AF">
        <w:rPr>
          <w:b/>
          <w:bCs/>
          <w:color w:val="000000"/>
          <w:kern w:val="32"/>
          <w:sz w:val="28"/>
          <w:szCs w:val="28"/>
        </w:rPr>
        <w:t xml:space="preserve">Красноярская </w:t>
      </w:r>
      <w:r w:rsidR="005679AF" w:rsidRPr="002213D8">
        <w:rPr>
          <w:b/>
          <w:bCs/>
          <w:color w:val="000000"/>
          <w:kern w:val="32"/>
          <w:sz w:val="28"/>
          <w:szCs w:val="28"/>
        </w:rPr>
        <w:t>дирекци</w:t>
      </w:r>
      <w:r w:rsidR="005679AF">
        <w:rPr>
          <w:b/>
          <w:bCs/>
          <w:color w:val="000000"/>
          <w:kern w:val="32"/>
          <w:sz w:val="28"/>
          <w:szCs w:val="28"/>
        </w:rPr>
        <w:t>я</w:t>
      </w:r>
      <w:r w:rsidR="005679AF" w:rsidRPr="002213D8">
        <w:rPr>
          <w:b/>
          <w:bCs/>
          <w:color w:val="000000"/>
          <w:kern w:val="32"/>
          <w:sz w:val="28"/>
          <w:szCs w:val="28"/>
        </w:rPr>
        <w:t xml:space="preserve"> по </w:t>
      </w:r>
      <w:proofErr w:type="spellStart"/>
      <w:r w:rsidR="005679AF" w:rsidRPr="002213D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2213D8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5679AF" w:rsidRPr="002213D8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5679AF" w:rsidRPr="002213D8">
        <w:rPr>
          <w:b/>
          <w:bCs/>
          <w:color w:val="000000"/>
          <w:kern w:val="32"/>
          <w:sz w:val="28"/>
          <w:szCs w:val="28"/>
        </w:rPr>
        <w:t xml:space="preserve">) </w:t>
      </w:r>
      <w:r w:rsidR="00344429">
        <w:rPr>
          <w:b/>
          <w:bCs/>
          <w:color w:val="000000"/>
          <w:kern w:val="32"/>
          <w:sz w:val="28"/>
          <w:szCs w:val="28"/>
        </w:rPr>
        <w:t xml:space="preserve">на тепловую энергию </w:t>
      </w:r>
      <w:r w:rsidR="00DA5052">
        <w:rPr>
          <w:b/>
          <w:bCs/>
          <w:color w:val="000000"/>
          <w:kern w:val="32"/>
          <w:sz w:val="28"/>
          <w:szCs w:val="28"/>
        </w:rPr>
        <w:t xml:space="preserve">по </w:t>
      </w:r>
      <w:r w:rsidR="005679AF" w:rsidRPr="002213D8">
        <w:rPr>
          <w:b/>
          <w:bCs/>
          <w:color w:val="000000"/>
          <w:kern w:val="32"/>
          <w:sz w:val="28"/>
          <w:szCs w:val="28"/>
        </w:rPr>
        <w:t>уз</w:t>
      </w:r>
      <w:r w:rsidR="00DA5052">
        <w:rPr>
          <w:b/>
          <w:bCs/>
          <w:color w:val="000000"/>
          <w:kern w:val="32"/>
          <w:sz w:val="28"/>
          <w:szCs w:val="28"/>
        </w:rPr>
        <w:t>лу</w:t>
      </w:r>
      <w:r w:rsidR="005679AF" w:rsidRPr="002213D8">
        <w:rPr>
          <w:b/>
          <w:bCs/>
          <w:color w:val="000000"/>
          <w:kern w:val="32"/>
          <w:sz w:val="28"/>
          <w:szCs w:val="28"/>
        </w:rPr>
        <w:t xml:space="preserve"> теплоснабжения </w:t>
      </w:r>
      <w:r w:rsidR="00DA5052">
        <w:rPr>
          <w:b/>
          <w:bCs/>
          <w:color w:val="000000"/>
          <w:kern w:val="32"/>
          <w:sz w:val="28"/>
          <w:szCs w:val="28"/>
        </w:rPr>
        <w:t xml:space="preserve">котельная </w:t>
      </w:r>
      <w:r w:rsidR="005679AF">
        <w:rPr>
          <w:b/>
          <w:bCs/>
          <w:color w:val="000000"/>
          <w:kern w:val="32"/>
          <w:sz w:val="28"/>
          <w:szCs w:val="28"/>
        </w:rPr>
        <w:t xml:space="preserve">п. </w:t>
      </w:r>
      <w:proofErr w:type="spellStart"/>
      <w:r w:rsidR="005679AF">
        <w:rPr>
          <w:b/>
          <w:bCs/>
          <w:color w:val="000000"/>
          <w:kern w:val="32"/>
          <w:sz w:val="28"/>
          <w:szCs w:val="28"/>
        </w:rPr>
        <w:t>Чульжан</w:t>
      </w:r>
      <w:proofErr w:type="spellEnd"/>
      <w:r w:rsidR="00344429">
        <w:rPr>
          <w:b/>
          <w:bCs/>
          <w:color w:val="000000"/>
          <w:kern w:val="32"/>
          <w:sz w:val="28"/>
          <w:szCs w:val="28"/>
        </w:rPr>
        <w:t>,</w:t>
      </w:r>
      <w:r w:rsidR="005679AF" w:rsidRPr="00964161">
        <w:rPr>
          <w:b/>
          <w:bCs/>
          <w:color w:val="000000"/>
          <w:kern w:val="32"/>
          <w:sz w:val="28"/>
          <w:szCs w:val="28"/>
        </w:rPr>
        <w:t xml:space="preserve"> </w:t>
      </w:r>
      <w:r w:rsidR="00344429" w:rsidRPr="00DF65AD">
        <w:rPr>
          <w:b/>
          <w:bCs/>
          <w:sz w:val="28"/>
          <w:szCs w:val="28"/>
          <w:lang w:val="x-none"/>
        </w:rPr>
        <w:t>реализуем</w:t>
      </w:r>
      <w:r w:rsidR="00344429">
        <w:rPr>
          <w:b/>
          <w:bCs/>
          <w:sz w:val="28"/>
          <w:szCs w:val="28"/>
        </w:rPr>
        <w:t>ую</w:t>
      </w:r>
      <w:r w:rsidR="00344429">
        <w:rPr>
          <w:b/>
          <w:bCs/>
          <w:color w:val="000000"/>
          <w:kern w:val="32"/>
          <w:sz w:val="28"/>
          <w:szCs w:val="28"/>
        </w:rPr>
        <w:t xml:space="preserve"> </w:t>
      </w:r>
      <w:r w:rsidR="005679AF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344429">
        <w:rPr>
          <w:b/>
          <w:bCs/>
          <w:color w:val="000000"/>
          <w:kern w:val="32"/>
          <w:sz w:val="28"/>
          <w:szCs w:val="28"/>
        </w:rPr>
        <w:br/>
      </w:r>
      <w:r w:rsidR="005679AF">
        <w:rPr>
          <w:b/>
          <w:bCs/>
          <w:color w:val="000000"/>
          <w:kern w:val="32"/>
          <w:sz w:val="28"/>
          <w:szCs w:val="28"/>
        </w:rPr>
        <w:t>г. Междуреченск</w:t>
      </w:r>
      <w:r w:rsidRPr="00DF65AD">
        <w:rPr>
          <w:b/>
          <w:bCs/>
          <w:sz w:val="28"/>
          <w:szCs w:val="28"/>
          <w:lang w:val="x-none"/>
        </w:rPr>
        <w:t xml:space="preserve">, </w:t>
      </w:r>
      <w:r w:rsidR="00C94B01">
        <w:rPr>
          <w:b/>
          <w:bCs/>
          <w:sz w:val="28"/>
          <w:szCs w:val="28"/>
        </w:rPr>
        <w:t>на период с 01.01.201</w:t>
      </w:r>
      <w:r w:rsidR="00411C4B">
        <w:rPr>
          <w:b/>
          <w:bCs/>
          <w:sz w:val="28"/>
          <w:szCs w:val="28"/>
        </w:rPr>
        <w:t>8</w:t>
      </w:r>
      <w:r w:rsidR="00C94B01">
        <w:rPr>
          <w:b/>
          <w:bCs/>
          <w:sz w:val="28"/>
          <w:szCs w:val="28"/>
        </w:rPr>
        <w:t xml:space="preserve"> по 31.12.20</w:t>
      </w:r>
      <w:r w:rsidR="00411C4B">
        <w:rPr>
          <w:b/>
          <w:bCs/>
          <w:sz w:val="28"/>
          <w:szCs w:val="28"/>
        </w:rPr>
        <w:t>20</w:t>
      </w:r>
    </w:p>
    <w:p w:rsidR="00CA39E0" w:rsidRPr="00CA39E0" w:rsidRDefault="00CA39E0" w:rsidP="00D43B74">
      <w:pPr>
        <w:ind w:right="-994"/>
        <w:jc w:val="center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74"/>
        <w:gridCol w:w="709"/>
        <w:gridCol w:w="996"/>
        <w:gridCol w:w="1013"/>
        <w:gridCol w:w="709"/>
        <w:gridCol w:w="992"/>
        <w:gridCol w:w="851"/>
        <w:gridCol w:w="708"/>
        <w:gridCol w:w="851"/>
      </w:tblGrid>
      <w:tr w:rsidR="00344429" w:rsidRPr="004C6F4E" w:rsidTr="006E03DA">
        <w:trPr>
          <w:trHeight w:val="276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344429" w:rsidRPr="004C6F4E" w:rsidRDefault="00344429" w:rsidP="00344429">
            <w:pPr>
              <w:ind w:right="-2"/>
              <w:jc w:val="center"/>
            </w:pPr>
            <w:proofErr w:type="spellStart"/>
            <w:proofErr w:type="gramStart"/>
            <w:r w:rsidRPr="004C6F4E">
              <w:t>Наименова-ние</w:t>
            </w:r>
            <w:proofErr w:type="spellEnd"/>
            <w:proofErr w:type="gramEnd"/>
            <w:r w:rsidRPr="004C6F4E">
              <w:t xml:space="preserve"> </w:t>
            </w:r>
            <w:proofErr w:type="spellStart"/>
            <w:r w:rsidRPr="004C6F4E">
              <w:t>регулируе</w:t>
            </w:r>
            <w:proofErr w:type="spellEnd"/>
            <w:r w:rsidRPr="004C6F4E">
              <w:t>-мой организации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344429" w:rsidRPr="004C6F4E" w:rsidRDefault="00344429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4429" w:rsidRPr="004C6F4E" w:rsidRDefault="00344429" w:rsidP="00AC2AFC">
            <w:pPr>
              <w:ind w:right="-2"/>
              <w:jc w:val="center"/>
            </w:pPr>
            <w:r w:rsidRPr="004C6F4E">
              <w:t>Год</w:t>
            </w:r>
          </w:p>
        </w:tc>
        <w:tc>
          <w:tcPr>
            <w:tcW w:w="2009" w:type="dxa"/>
            <w:gridSpan w:val="2"/>
            <w:vMerge w:val="restart"/>
            <w:shd w:val="clear" w:color="auto" w:fill="auto"/>
            <w:vAlign w:val="center"/>
          </w:tcPr>
          <w:p w:rsidR="00344429" w:rsidRPr="004C6F4E" w:rsidRDefault="00344429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344429" w:rsidRPr="004C6F4E" w:rsidRDefault="00344429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44429" w:rsidRDefault="00344429" w:rsidP="00DA5052">
            <w:pPr>
              <w:ind w:left="-108" w:right="-103" w:hanging="108"/>
              <w:jc w:val="center"/>
            </w:pPr>
            <w:r>
              <w:t xml:space="preserve">  Ост</w:t>
            </w:r>
            <w:r w:rsidRPr="00041CCE">
              <w:t>рый</w:t>
            </w:r>
          </w:p>
          <w:p w:rsidR="00344429" w:rsidRDefault="00344429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344429" w:rsidRPr="00041CCE" w:rsidRDefault="00344429" w:rsidP="00CA39E0">
            <w:pPr>
              <w:ind w:left="-108" w:right="-109" w:hanging="108"/>
              <w:jc w:val="center"/>
            </w:pPr>
            <w:r>
              <w:t xml:space="preserve">  </w:t>
            </w:r>
            <w:proofErr w:type="spellStart"/>
            <w:proofErr w:type="gramStart"/>
            <w:r w:rsidRPr="00041CCE">
              <w:t>редуци</w:t>
            </w:r>
            <w:r>
              <w:t>-р</w:t>
            </w:r>
            <w:r w:rsidRPr="00041CCE">
              <w:t>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344429" w:rsidRPr="004C6F4E" w:rsidTr="00344429">
        <w:trPr>
          <w:cantSplit/>
          <w:trHeight w:val="499"/>
        </w:trPr>
        <w:tc>
          <w:tcPr>
            <w:tcW w:w="1546" w:type="dxa"/>
            <w:vMerge/>
            <w:shd w:val="clear" w:color="auto" w:fill="auto"/>
            <w:vAlign w:val="center"/>
          </w:tcPr>
          <w:p w:rsidR="00344429" w:rsidRPr="004C6F4E" w:rsidRDefault="00344429" w:rsidP="009B0400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344429" w:rsidRPr="004C6F4E" w:rsidRDefault="00344429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344429" w:rsidRPr="004C6F4E" w:rsidRDefault="00344429" w:rsidP="005E4620">
            <w:pPr>
              <w:ind w:right="-2"/>
              <w:jc w:val="center"/>
            </w:pPr>
          </w:p>
        </w:tc>
        <w:tc>
          <w:tcPr>
            <w:tcW w:w="2009" w:type="dxa"/>
            <w:gridSpan w:val="2"/>
            <w:vMerge/>
            <w:shd w:val="clear" w:color="auto" w:fill="auto"/>
          </w:tcPr>
          <w:p w:rsidR="00344429" w:rsidRPr="004C6F4E" w:rsidRDefault="00344429" w:rsidP="00640280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4429" w:rsidRPr="00CA39E0" w:rsidRDefault="00344429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44429" w:rsidRPr="00CA39E0" w:rsidRDefault="00344429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44429" w:rsidRPr="00CA39E0" w:rsidRDefault="00344429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44429" w:rsidRPr="00CA39E0" w:rsidRDefault="00344429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:rsidR="00344429" w:rsidRPr="004C6F4E" w:rsidRDefault="00344429" w:rsidP="00CA39E0">
            <w:pPr>
              <w:ind w:right="-2"/>
              <w:jc w:val="center"/>
            </w:pPr>
          </w:p>
        </w:tc>
      </w:tr>
      <w:tr w:rsidR="00344429" w:rsidRPr="004C6F4E" w:rsidTr="00344429">
        <w:trPr>
          <w:trHeight w:val="563"/>
        </w:trPr>
        <w:tc>
          <w:tcPr>
            <w:tcW w:w="1546" w:type="dxa"/>
            <w:vMerge/>
            <w:shd w:val="clear" w:color="auto" w:fill="auto"/>
            <w:vAlign w:val="center"/>
          </w:tcPr>
          <w:p w:rsidR="00344429" w:rsidRPr="004C6F4E" w:rsidRDefault="00344429" w:rsidP="009B0400">
            <w:pPr>
              <w:ind w:left="-108" w:right="-125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344429" w:rsidRPr="004C6F4E" w:rsidRDefault="00344429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344429" w:rsidRPr="004C6F4E" w:rsidRDefault="00344429" w:rsidP="005E4620">
            <w:pPr>
              <w:ind w:right="-2"/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344429" w:rsidRPr="00CA39E0" w:rsidRDefault="00344429" w:rsidP="00344429">
            <w:pPr>
              <w:ind w:left="-108" w:right="-130"/>
              <w:jc w:val="center"/>
            </w:pPr>
            <w:r w:rsidRPr="00CA39E0">
              <w:t>с 01.01</w:t>
            </w:r>
            <w:r>
              <w:t>.</w:t>
            </w:r>
            <w:r w:rsidRPr="00CA39E0">
              <w:t xml:space="preserve"> по 30.06</w:t>
            </w:r>
            <w:r>
              <w:t>.</w:t>
            </w:r>
          </w:p>
        </w:tc>
        <w:tc>
          <w:tcPr>
            <w:tcW w:w="1013" w:type="dxa"/>
            <w:shd w:val="clear" w:color="auto" w:fill="auto"/>
          </w:tcPr>
          <w:p w:rsidR="00344429" w:rsidRDefault="00344429" w:rsidP="00CA39E0">
            <w:pPr>
              <w:ind w:left="-174" w:right="-108"/>
              <w:jc w:val="center"/>
            </w:pPr>
            <w:r w:rsidRPr="00CA39E0">
              <w:t>с 01.07</w:t>
            </w:r>
            <w:r>
              <w:t>.</w:t>
            </w:r>
            <w:r w:rsidRPr="00CA39E0">
              <w:t xml:space="preserve"> </w:t>
            </w:r>
          </w:p>
          <w:p w:rsidR="00344429" w:rsidRPr="00CA39E0" w:rsidRDefault="00344429" w:rsidP="00CA39E0">
            <w:pPr>
              <w:ind w:left="-174" w:right="-108"/>
              <w:jc w:val="center"/>
            </w:pPr>
            <w:r w:rsidRPr="00CA39E0">
              <w:t>по 31.12</w:t>
            </w:r>
            <w:r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344429" w:rsidRPr="00CA39E0" w:rsidRDefault="00344429" w:rsidP="005E4620">
            <w:pPr>
              <w:ind w:right="-2"/>
              <w:jc w:val="center"/>
              <w:rPr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4429" w:rsidRPr="00CA39E0" w:rsidRDefault="00344429" w:rsidP="00CA39E0">
            <w:pPr>
              <w:ind w:left="-174" w:right="-108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344429" w:rsidRPr="004C6F4E" w:rsidRDefault="00344429" w:rsidP="005E4620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344429" w:rsidRPr="004C6F4E" w:rsidRDefault="00344429" w:rsidP="00FF0F2F">
            <w:pPr>
              <w:ind w:right="-2" w:hanging="108"/>
            </w:pPr>
          </w:p>
        </w:tc>
        <w:tc>
          <w:tcPr>
            <w:tcW w:w="851" w:type="dxa"/>
            <w:vMerge/>
            <w:shd w:val="clear" w:color="auto" w:fill="auto"/>
          </w:tcPr>
          <w:p w:rsidR="00344429" w:rsidRPr="004C6F4E" w:rsidRDefault="00344429" w:rsidP="00AC2AFC">
            <w:pPr>
              <w:ind w:right="-2"/>
              <w:jc w:val="center"/>
            </w:pPr>
          </w:p>
        </w:tc>
      </w:tr>
      <w:tr w:rsidR="00640280" w:rsidRPr="004C6F4E" w:rsidTr="00344429">
        <w:trPr>
          <w:trHeight w:val="529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344429" w:rsidRPr="004C6F4E" w:rsidRDefault="00344429" w:rsidP="00344429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>ОАО «</w:t>
            </w:r>
            <w:r>
              <w:rPr>
                <w:bCs/>
                <w:color w:val="000000"/>
                <w:kern w:val="32"/>
              </w:rPr>
              <w:t xml:space="preserve">РЖД» (филиал Красноярская дирекция по </w:t>
            </w:r>
            <w:proofErr w:type="spellStart"/>
            <w:r>
              <w:rPr>
                <w:bCs/>
                <w:color w:val="000000"/>
                <w:kern w:val="32"/>
              </w:rPr>
              <w:t>тепловодо</w:t>
            </w:r>
            <w:proofErr w:type="spellEnd"/>
            <w:r>
              <w:rPr>
                <w:bCs/>
                <w:color w:val="000000"/>
                <w:kern w:val="32"/>
              </w:rPr>
              <w:t xml:space="preserve">-снабжению – структурное подразделение Центральной дирекции по </w:t>
            </w:r>
            <w:proofErr w:type="spellStart"/>
            <w:r>
              <w:rPr>
                <w:bCs/>
                <w:color w:val="000000"/>
                <w:kern w:val="32"/>
              </w:rPr>
              <w:t>тепловодо</w:t>
            </w:r>
            <w:proofErr w:type="spellEnd"/>
            <w:r>
              <w:rPr>
                <w:bCs/>
                <w:color w:val="000000"/>
                <w:kern w:val="32"/>
              </w:rPr>
              <w:t xml:space="preserve">-снабжению) узел </w:t>
            </w:r>
            <w:proofErr w:type="spellStart"/>
            <w:proofErr w:type="gramStart"/>
            <w:r>
              <w:rPr>
                <w:bCs/>
                <w:color w:val="000000"/>
                <w:kern w:val="32"/>
              </w:rPr>
              <w:t>теплоснабже-ния</w:t>
            </w:r>
            <w:proofErr w:type="spellEnd"/>
            <w:proofErr w:type="gramEnd"/>
            <w:r>
              <w:rPr>
                <w:bCs/>
                <w:color w:val="000000"/>
                <w:kern w:val="32"/>
              </w:rPr>
              <w:t xml:space="preserve"> -</w:t>
            </w:r>
          </w:p>
          <w:p w:rsidR="00640280" w:rsidRPr="004C6F4E" w:rsidRDefault="00344429" w:rsidP="00344429">
            <w:pPr>
              <w:ind w:left="-108" w:right="-125" w:firstLine="2"/>
              <w:jc w:val="center"/>
            </w:pPr>
            <w:r>
              <w:rPr>
                <w:bCs/>
                <w:kern w:val="32"/>
              </w:rPr>
              <w:t>котельная</w:t>
            </w:r>
            <w:r>
              <w:rPr>
                <w:bCs/>
                <w:kern w:val="32"/>
              </w:rPr>
              <w:br/>
              <w:t xml:space="preserve">п. </w:t>
            </w:r>
            <w:proofErr w:type="spellStart"/>
            <w:r>
              <w:rPr>
                <w:bCs/>
                <w:kern w:val="32"/>
              </w:rPr>
              <w:t>Чульжан</w:t>
            </w:r>
            <w:proofErr w:type="spellEnd"/>
            <w:r>
              <w:t xml:space="preserve"> </w:t>
            </w:r>
          </w:p>
        </w:tc>
        <w:tc>
          <w:tcPr>
            <w:tcW w:w="8803" w:type="dxa"/>
            <w:gridSpan w:val="9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F1920" w:rsidRPr="004C6F4E" w:rsidTr="006E03DA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321609">
            <w:pPr>
              <w:ind w:left="-220" w:right="-125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201</w:t>
            </w:r>
            <w:r>
              <w:t>8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B653F0" w:rsidP="00AC2AFC">
            <w:pPr>
              <w:ind w:right="-2"/>
            </w:pPr>
            <w:r>
              <w:t>2784,89</w:t>
            </w:r>
          </w:p>
        </w:tc>
        <w:tc>
          <w:tcPr>
            <w:tcW w:w="1013" w:type="dxa"/>
            <w:shd w:val="clear" w:color="auto" w:fill="FFFFFF" w:themeFill="background1"/>
          </w:tcPr>
          <w:p w:rsidR="00BF1920" w:rsidRPr="00626711" w:rsidRDefault="00B653F0" w:rsidP="00AC2AFC">
            <w:pPr>
              <w:ind w:right="-2"/>
            </w:pPr>
            <w:r>
              <w:t>2</w:t>
            </w:r>
            <w:r w:rsidR="00DE01B7">
              <w:t>876,10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201</w:t>
            </w:r>
            <w:r>
              <w:t>9</w:t>
            </w:r>
          </w:p>
        </w:tc>
        <w:tc>
          <w:tcPr>
            <w:tcW w:w="996" w:type="dxa"/>
            <w:shd w:val="clear" w:color="auto" w:fill="auto"/>
          </w:tcPr>
          <w:p w:rsidR="00362716" w:rsidRPr="00626711" w:rsidRDefault="00362716" w:rsidP="00AC2AFC">
            <w:pPr>
              <w:ind w:right="-2"/>
            </w:pPr>
            <w:r>
              <w:t>2</w:t>
            </w:r>
            <w:r w:rsidR="00DE01B7">
              <w:t>876,10</w:t>
            </w:r>
          </w:p>
        </w:tc>
        <w:tc>
          <w:tcPr>
            <w:tcW w:w="1013" w:type="dxa"/>
            <w:shd w:val="clear" w:color="auto" w:fill="FFFFFF" w:themeFill="background1"/>
          </w:tcPr>
          <w:p w:rsidR="00BF1920" w:rsidRPr="00626711" w:rsidRDefault="00DE01B7" w:rsidP="00AC2AFC">
            <w:pPr>
              <w:ind w:right="-2"/>
            </w:pPr>
            <w:r>
              <w:t>2980,45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rPr>
          <w:trHeight w:val="189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</w:t>
            </w:r>
            <w:r>
              <w:t>20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DE01B7" w:rsidP="006F0059">
            <w:pPr>
              <w:ind w:right="-2"/>
            </w:pPr>
            <w:r>
              <w:t>2980,45</w:t>
            </w:r>
          </w:p>
        </w:tc>
        <w:tc>
          <w:tcPr>
            <w:tcW w:w="1013" w:type="dxa"/>
            <w:shd w:val="clear" w:color="auto" w:fill="FFFFFF" w:themeFill="background1"/>
          </w:tcPr>
          <w:p w:rsidR="00BF1920" w:rsidRPr="00626711" w:rsidRDefault="00DE01B7" w:rsidP="00AC2AFC">
            <w:pPr>
              <w:ind w:right="-2"/>
            </w:pPr>
            <w:r>
              <w:t>3032,66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CA39E0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rPr>
          <w:trHeight w:val="900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rPr>
          <w:trHeight w:val="1414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Ставка за </w:t>
            </w:r>
            <w:proofErr w:type="spellStart"/>
            <w:proofErr w:type="gramStart"/>
            <w:r w:rsidRPr="004C6F4E">
              <w:t>содер-жание</w:t>
            </w:r>
            <w:proofErr w:type="spellEnd"/>
            <w:proofErr w:type="gramEnd"/>
            <w:r w:rsidRPr="004C6F4E">
              <w:t xml:space="preserve">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6E03DA">
        <w:tc>
          <w:tcPr>
            <w:tcW w:w="1546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8803" w:type="dxa"/>
            <w:gridSpan w:val="9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BF1920" w:rsidRPr="004C6F4E" w:rsidTr="006E03DA">
        <w:trPr>
          <w:trHeight w:val="225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BF1920" w:rsidRPr="004C6F4E" w:rsidRDefault="00BF1920" w:rsidP="005E462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201</w:t>
            </w:r>
            <w:r>
              <w:t>8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B653F0" w:rsidP="00640280">
            <w:pPr>
              <w:ind w:right="-2"/>
            </w:pPr>
            <w:r>
              <w:t>3286,17</w:t>
            </w:r>
          </w:p>
        </w:tc>
        <w:tc>
          <w:tcPr>
            <w:tcW w:w="1013" w:type="dxa"/>
            <w:shd w:val="clear" w:color="auto" w:fill="auto"/>
          </w:tcPr>
          <w:p w:rsidR="00BF1920" w:rsidRPr="00626711" w:rsidRDefault="009B0400" w:rsidP="00640280">
            <w:pPr>
              <w:ind w:right="-2"/>
            </w:pPr>
            <w:r>
              <w:t>3393,80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rPr>
          <w:trHeight w:val="180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201</w:t>
            </w:r>
            <w:r>
              <w:t>9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362716" w:rsidP="00640280">
            <w:pPr>
              <w:ind w:right="-2"/>
            </w:pPr>
            <w:r>
              <w:t>3</w:t>
            </w:r>
            <w:r w:rsidR="009B0400">
              <w:t>393,80</w:t>
            </w:r>
          </w:p>
        </w:tc>
        <w:tc>
          <w:tcPr>
            <w:tcW w:w="1013" w:type="dxa"/>
            <w:shd w:val="clear" w:color="auto" w:fill="auto"/>
          </w:tcPr>
          <w:p w:rsidR="00BF1920" w:rsidRPr="00626711" w:rsidRDefault="009B0400" w:rsidP="00640280">
            <w:pPr>
              <w:ind w:right="-2"/>
            </w:pPr>
            <w:r>
              <w:t>3516,93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rPr>
          <w:trHeight w:val="135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</w:t>
            </w:r>
            <w:r>
              <w:t>20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9B0400" w:rsidP="00640280">
            <w:pPr>
              <w:ind w:right="-2"/>
            </w:pPr>
            <w:r>
              <w:t>3516,93</w:t>
            </w:r>
          </w:p>
        </w:tc>
        <w:tc>
          <w:tcPr>
            <w:tcW w:w="1013" w:type="dxa"/>
            <w:shd w:val="clear" w:color="auto" w:fill="auto"/>
          </w:tcPr>
          <w:p w:rsidR="00BF1920" w:rsidRPr="00626711" w:rsidRDefault="009B0400" w:rsidP="00640280">
            <w:pPr>
              <w:ind w:right="-2"/>
            </w:pPr>
            <w:r>
              <w:t>3578,54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BD4567" w:rsidRDefault="00BF1920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6E03DA">
        <w:trPr>
          <w:trHeight w:val="1136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тыс. руб./Гкал/ч </w:t>
            </w:r>
          </w:p>
          <w:p w:rsidR="00BF1920" w:rsidRPr="004C6F4E" w:rsidRDefault="00BF1920" w:rsidP="00FD033C">
            <w:pPr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</w:tbl>
    <w:p w:rsidR="00591301" w:rsidRPr="00CA39E0" w:rsidRDefault="00FB6390" w:rsidP="00344429">
      <w:pPr>
        <w:ind w:left="-426" w:right="-284" w:firstLine="568"/>
        <w:jc w:val="both"/>
        <w:rPr>
          <w:color w:val="FF0000"/>
          <w:sz w:val="28"/>
          <w:szCs w:val="28"/>
        </w:rPr>
      </w:pPr>
      <w:r w:rsidRPr="00CA39E0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</w:p>
    <w:sectPr w:rsidR="00591301" w:rsidRPr="00CA39E0" w:rsidSect="00285C97">
      <w:pgSz w:w="11906" w:h="16838" w:code="9"/>
      <w:pgMar w:top="142" w:right="849" w:bottom="284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3A3" w:rsidRDefault="009023A3">
      <w:r>
        <w:separator/>
      </w:r>
    </w:p>
  </w:endnote>
  <w:endnote w:type="continuationSeparator" w:id="0">
    <w:p w:rsidR="009023A3" w:rsidRDefault="0090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B8" w:rsidRDefault="00F54BB8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4BB8" w:rsidRDefault="00F54BB8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B8" w:rsidRDefault="00F54BB8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3A3" w:rsidRDefault="009023A3">
      <w:r>
        <w:separator/>
      </w:r>
    </w:p>
  </w:footnote>
  <w:footnote w:type="continuationSeparator" w:id="0">
    <w:p w:rsidR="009023A3" w:rsidRDefault="0090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B8" w:rsidRDefault="00F54BB8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4BB8" w:rsidRDefault="00F54B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3980476"/>
      <w:docPartObj>
        <w:docPartGallery w:val="Page Numbers (Top of Page)"/>
        <w:docPartUnique/>
      </w:docPartObj>
    </w:sdtPr>
    <w:sdtEndPr/>
    <w:sdtContent>
      <w:p w:rsidR="00F54BB8" w:rsidRDefault="00F54B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53" w:rsidRPr="003D4153">
          <w:rPr>
            <w:noProof/>
            <w:lang w:val="ru-RU"/>
          </w:rPr>
          <w:t>4</w:t>
        </w:r>
        <w:r>
          <w:fldChar w:fldCharType="end"/>
        </w:r>
      </w:p>
    </w:sdtContent>
  </w:sdt>
  <w:p w:rsidR="00F54BB8" w:rsidRPr="00AF779D" w:rsidRDefault="00F54BB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308959"/>
      <w:docPartObj>
        <w:docPartGallery w:val="Page Numbers (Top of Page)"/>
        <w:docPartUnique/>
      </w:docPartObj>
    </w:sdtPr>
    <w:sdtEndPr/>
    <w:sdtContent>
      <w:p w:rsidR="00F54BB8" w:rsidRDefault="00F54B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53" w:rsidRPr="003D4153">
          <w:rPr>
            <w:noProof/>
            <w:lang w:val="ru-RU"/>
          </w:rPr>
          <w:t>3</w:t>
        </w:r>
        <w:r>
          <w:fldChar w:fldCharType="end"/>
        </w:r>
      </w:p>
    </w:sdtContent>
  </w:sdt>
  <w:p w:rsidR="00F54BB8" w:rsidRPr="00765B27" w:rsidRDefault="00F54BB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5CDE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0DAF"/>
    <w:rsid w:val="000B15BA"/>
    <w:rsid w:val="000B2627"/>
    <w:rsid w:val="000B6AA6"/>
    <w:rsid w:val="000C0785"/>
    <w:rsid w:val="000C101F"/>
    <w:rsid w:val="000C32FB"/>
    <w:rsid w:val="000C5870"/>
    <w:rsid w:val="000C5F0B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B74CC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2BAA"/>
    <w:rsid w:val="00224AB4"/>
    <w:rsid w:val="00227DDC"/>
    <w:rsid w:val="00235A65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85C97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4429"/>
    <w:rsid w:val="003515BD"/>
    <w:rsid w:val="0035332A"/>
    <w:rsid w:val="00356CD1"/>
    <w:rsid w:val="0035797A"/>
    <w:rsid w:val="00361E41"/>
    <w:rsid w:val="003626BA"/>
    <w:rsid w:val="00362716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6590"/>
    <w:rsid w:val="003B7F7A"/>
    <w:rsid w:val="003C1678"/>
    <w:rsid w:val="003C22E7"/>
    <w:rsid w:val="003C4DC8"/>
    <w:rsid w:val="003C6C28"/>
    <w:rsid w:val="003C77BC"/>
    <w:rsid w:val="003D0639"/>
    <w:rsid w:val="003D4153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C4B"/>
    <w:rsid w:val="00412354"/>
    <w:rsid w:val="00421330"/>
    <w:rsid w:val="00423B65"/>
    <w:rsid w:val="004255D5"/>
    <w:rsid w:val="00426BD2"/>
    <w:rsid w:val="00440BF5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679AF"/>
    <w:rsid w:val="00570705"/>
    <w:rsid w:val="00583368"/>
    <w:rsid w:val="00586D9B"/>
    <w:rsid w:val="00587872"/>
    <w:rsid w:val="00591300"/>
    <w:rsid w:val="00591301"/>
    <w:rsid w:val="005915B8"/>
    <w:rsid w:val="00593954"/>
    <w:rsid w:val="005950F6"/>
    <w:rsid w:val="005950FD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69D4"/>
    <w:rsid w:val="006E03DA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2B1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41E8"/>
    <w:rsid w:val="00841208"/>
    <w:rsid w:val="00845047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3A3"/>
    <w:rsid w:val="00902AFD"/>
    <w:rsid w:val="00903A2D"/>
    <w:rsid w:val="00904295"/>
    <w:rsid w:val="009073DC"/>
    <w:rsid w:val="00910729"/>
    <w:rsid w:val="009109C6"/>
    <w:rsid w:val="00911730"/>
    <w:rsid w:val="009149AC"/>
    <w:rsid w:val="00916959"/>
    <w:rsid w:val="0092276F"/>
    <w:rsid w:val="00923D2A"/>
    <w:rsid w:val="00925DB6"/>
    <w:rsid w:val="00927378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0400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653F0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2DF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652F5"/>
    <w:rsid w:val="00C67104"/>
    <w:rsid w:val="00C712E9"/>
    <w:rsid w:val="00C72109"/>
    <w:rsid w:val="00C75ECA"/>
    <w:rsid w:val="00C7653C"/>
    <w:rsid w:val="00C779D1"/>
    <w:rsid w:val="00C92DAD"/>
    <w:rsid w:val="00C94B01"/>
    <w:rsid w:val="00CA39E0"/>
    <w:rsid w:val="00CA5C54"/>
    <w:rsid w:val="00CA6BAF"/>
    <w:rsid w:val="00CB2D67"/>
    <w:rsid w:val="00CB3047"/>
    <w:rsid w:val="00CB542B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3F94"/>
    <w:rsid w:val="00D97EED"/>
    <w:rsid w:val="00DA274F"/>
    <w:rsid w:val="00DA43DD"/>
    <w:rsid w:val="00DA4D84"/>
    <w:rsid w:val="00DA5052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1B7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8630A"/>
    <w:rsid w:val="00E91DED"/>
    <w:rsid w:val="00EA31EA"/>
    <w:rsid w:val="00EA49A2"/>
    <w:rsid w:val="00EA6BDC"/>
    <w:rsid w:val="00EB2CBD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B1F"/>
    <w:rsid w:val="00F50986"/>
    <w:rsid w:val="00F5150A"/>
    <w:rsid w:val="00F5217D"/>
    <w:rsid w:val="00F5277D"/>
    <w:rsid w:val="00F52FC0"/>
    <w:rsid w:val="00F54BB8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2E6E3"/>
  <w15:docId w15:val="{8A7B96F2-3108-489E-B3F3-16E34B26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DB33-1FF4-4893-82C3-D672B234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134</cp:revision>
  <cp:lastPrinted>2017-12-21T11:32:00Z</cp:lastPrinted>
  <dcterms:created xsi:type="dcterms:W3CDTF">2015-10-08T13:58:00Z</dcterms:created>
  <dcterms:modified xsi:type="dcterms:W3CDTF">2017-12-21T11:58:00Z</dcterms:modified>
</cp:coreProperties>
</file>