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5C154B">
        <w:rPr>
          <w:b/>
        </w:rPr>
        <w:t>1</w:t>
      </w:r>
      <w:r w:rsidR="000F0BBE">
        <w:rPr>
          <w:b/>
        </w:rPr>
        <w:t>6</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0F0BBE" w:rsidP="008311A7">
      <w:r>
        <w:t>10</w:t>
      </w:r>
      <w:r w:rsidR="00A86720" w:rsidRPr="003866BB">
        <w:t>.</w:t>
      </w:r>
      <w:r w:rsidR="00422D55">
        <w:t>0</w:t>
      </w:r>
      <w:r w:rsidR="009D2289">
        <w:t>4</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9B01B8" w:rsidRPr="00005BBB" w:rsidRDefault="009B01B8"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1E17CB">
      <w:pPr>
        <w:ind w:right="-142"/>
        <w:jc w:val="both"/>
      </w:pPr>
      <w:r w:rsidRPr="00C443F5">
        <w:t>Члены Правления:</w:t>
      </w:r>
      <w:r w:rsidRPr="00C443F5">
        <w:rPr>
          <w:b/>
        </w:rPr>
        <w:t xml:space="preserve"> </w:t>
      </w:r>
      <w:r w:rsidR="00C31CFE">
        <w:rPr>
          <w:b/>
        </w:rPr>
        <w:t xml:space="preserve">Чурсина О.А., </w:t>
      </w:r>
      <w:r w:rsidR="001F0BC9" w:rsidRPr="00EA0749">
        <w:rPr>
          <w:b/>
        </w:rPr>
        <w:t>Дюков А.В.</w:t>
      </w:r>
      <w:r w:rsidR="006B52FC" w:rsidRPr="00EA0749">
        <w:rPr>
          <w:b/>
        </w:rPr>
        <w:t>, Незнанов П.Г</w:t>
      </w:r>
      <w:r w:rsidR="00EA0749">
        <w:rPr>
          <w:b/>
        </w:rPr>
        <w:t xml:space="preserve">., </w:t>
      </w:r>
      <w:proofErr w:type="spellStart"/>
      <w:r w:rsidR="00EA0749">
        <w:rPr>
          <w:b/>
        </w:rPr>
        <w:t>Кулебякина</w:t>
      </w:r>
      <w:proofErr w:type="spellEnd"/>
      <w:r w:rsidR="00EA0749">
        <w:rPr>
          <w:b/>
        </w:rPr>
        <w:t xml:space="preserve"> М.В. </w:t>
      </w:r>
      <w:r w:rsidR="00EA0749" w:rsidRPr="00EA0749">
        <w:t>(присутствовала на 1-о</w:t>
      </w:r>
      <w:r w:rsidR="00B21555">
        <w:t>м</w:t>
      </w:r>
      <w:r w:rsidR="00EA0749" w:rsidRPr="00EA0749">
        <w:t xml:space="preserve"> вопросе)</w:t>
      </w:r>
      <w:r w:rsidR="00DF5957">
        <w:t>.</w:t>
      </w:r>
    </w:p>
    <w:p w:rsidR="00A40CB4" w:rsidRPr="00C443F5" w:rsidRDefault="00A40CB4" w:rsidP="00955937">
      <w:pPr>
        <w:ind w:right="-142"/>
        <w:jc w:val="both"/>
      </w:pPr>
    </w:p>
    <w:p w:rsidR="00A55447" w:rsidRDefault="00A55447" w:rsidP="00B943C4">
      <w:pPr>
        <w:rPr>
          <w:b/>
        </w:rPr>
      </w:pPr>
      <w:bookmarkStart w:id="0" w:name="_GoBack"/>
      <w:bookmarkEnd w:id="0"/>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3866BB" w:rsidRPr="00C443F5" w:rsidTr="003D25D2">
        <w:trPr>
          <w:trHeight w:val="555"/>
        </w:trPr>
        <w:tc>
          <w:tcPr>
            <w:tcW w:w="2268" w:type="dxa"/>
            <w:shd w:val="clear" w:color="auto" w:fill="auto"/>
          </w:tcPr>
          <w:p w:rsidR="00C00850" w:rsidRPr="00C443F5" w:rsidRDefault="00EA0749" w:rsidP="00EA0749">
            <w:pPr>
              <w:rPr>
                <w:b/>
              </w:rPr>
            </w:pPr>
            <w:r>
              <w:rPr>
                <w:b/>
              </w:rPr>
              <w:t>Иванова Т.Н.</w:t>
            </w:r>
          </w:p>
        </w:tc>
        <w:tc>
          <w:tcPr>
            <w:tcW w:w="7230" w:type="dxa"/>
            <w:shd w:val="clear" w:color="auto" w:fill="auto"/>
          </w:tcPr>
          <w:p w:rsidR="00C00850" w:rsidRPr="00C443F5" w:rsidRDefault="00C00850" w:rsidP="00DF5957">
            <w:pPr>
              <w:jc w:val="both"/>
            </w:pPr>
            <w:r w:rsidRPr="00C443F5">
              <w:t xml:space="preserve">- </w:t>
            </w:r>
            <w:r w:rsidR="00EA0749">
              <w:t>начальник отдела правового обеспечения и организации закупок</w:t>
            </w:r>
            <w:r w:rsidRPr="00C443F5">
              <w:t xml:space="preserve"> региональной энергетической комиссии Кемеровской области;</w:t>
            </w:r>
          </w:p>
        </w:tc>
      </w:tr>
      <w:tr w:rsidR="00EA0749" w:rsidRPr="00C443F5" w:rsidTr="003D25D2">
        <w:trPr>
          <w:trHeight w:val="555"/>
        </w:trPr>
        <w:tc>
          <w:tcPr>
            <w:tcW w:w="2268" w:type="dxa"/>
            <w:shd w:val="clear" w:color="auto" w:fill="auto"/>
          </w:tcPr>
          <w:p w:rsidR="00EA0749" w:rsidRDefault="00EA0749" w:rsidP="00EA0749">
            <w:pPr>
              <w:rPr>
                <w:b/>
              </w:rPr>
            </w:pPr>
            <w:r>
              <w:rPr>
                <w:b/>
              </w:rPr>
              <w:t>Овчинников А.Г.</w:t>
            </w:r>
          </w:p>
        </w:tc>
        <w:tc>
          <w:tcPr>
            <w:tcW w:w="7230" w:type="dxa"/>
            <w:shd w:val="clear" w:color="auto" w:fill="auto"/>
          </w:tcPr>
          <w:p w:rsidR="00EA0749" w:rsidRPr="00C443F5" w:rsidRDefault="00EA0749" w:rsidP="00DF5957">
            <w:pPr>
              <w:jc w:val="both"/>
            </w:pPr>
            <w:r>
              <w:t xml:space="preserve">- главный консультант технического отдела </w:t>
            </w:r>
            <w:r w:rsidRPr="00EA0749">
              <w:t>региональной энергетической комиссии Кемеровской области;</w:t>
            </w:r>
          </w:p>
        </w:tc>
      </w:tr>
      <w:tr w:rsidR="00EA0749" w:rsidRPr="00C443F5" w:rsidTr="003D25D2">
        <w:trPr>
          <w:trHeight w:val="555"/>
        </w:trPr>
        <w:tc>
          <w:tcPr>
            <w:tcW w:w="2268" w:type="dxa"/>
            <w:shd w:val="clear" w:color="auto" w:fill="auto"/>
          </w:tcPr>
          <w:p w:rsidR="00EA0749" w:rsidRDefault="00EA0749" w:rsidP="00EA0749">
            <w:pPr>
              <w:rPr>
                <w:b/>
              </w:rPr>
            </w:pPr>
            <w:proofErr w:type="spellStart"/>
            <w:r>
              <w:rPr>
                <w:b/>
              </w:rPr>
              <w:t>Седашкина</w:t>
            </w:r>
            <w:proofErr w:type="spellEnd"/>
            <w:r>
              <w:rPr>
                <w:b/>
              </w:rPr>
              <w:t xml:space="preserve"> Г.С.</w:t>
            </w:r>
          </w:p>
        </w:tc>
        <w:tc>
          <w:tcPr>
            <w:tcW w:w="7230" w:type="dxa"/>
            <w:shd w:val="clear" w:color="auto" w:fill="auto"/>
          </w:tcPr>
          <w:p w:rsidR="00EA0749" w:rsidRDefault="00EA0749" w:rsidP="00DF5957">
            <w:pPr>
              <w:jc w:val="both"/>
            </w:pPr>
            <w:r>
              <w:t xml:space="preserve">- ведущий консультант отдела ценообразования в электроэнергетике </w:t>
            </w:r>
            <w:r w:rsidRPr="00EA0749">
              <w:t>региональной энергетической комиссии Кемеровской области;</w:t>
            </w:r>
          </w:p>
        </w:tc>
      </w:tr>
      <w:tr w:rsidR="00EA0749" w:rsidRPr="00C443F5" w:rsidTr="003D25D2">
        <w:trPr>
          <w:trHeight w:val="237"/>
        </w:trPr>
        <w:tc>
          <w:tcPr>
            <w:tcW w:w="2268" w:type="dxa"/>
            <w:shd w:val="clear" w:color="auto" w:fill="auto"/>
          </w:tcPr>
          <w:p w:rsidR="00EA0749" w:rsidRDefault="00EA0749" w:rsidP="00EA0749">
            <w:pPr>
              <w:rPr>
                <w:b/>
              </w:rPr>
            </w:pPr>
            <w:r>
              <w:rPr>
                <w:b/>
              </w:rPr>
              <w:t>Цыпленкова Е.М.</w:t>
            </w:r>
          </w:p>
        </w:tc>
        <w:tc>
          <w:tcPr>
            <w:tcW w:w="7230" w:type="dxa"/>
            <w:shd w:val="clear" w:color="auto" w:fill="auto"/>
          </w:tcPr>
          <w:p w:rsidR="00EA0749" w:rsidRDefault="00EA0749" w:rsidP="00DF5957">
            <w:pPr>
              <w:jc w:val="both"/>
            </w:pPr>
            <w:r>
              <w:t>- директор по доходам АО «</w:t>
            </w:r>
            <w:proofErr w:type="spellStart"/>
            <w:r>
              <w:t>Теплоэнерго</w:t>
            </w:r>
            <w:proofErr w:type="spellEnd"/>
            <w:r>
              <w:t>»;</w:t>
            </w:r>
          </w:p>
        </w:tc>
      </w:tr>
      <w:tr w:rsidR="00EA0749" w:rsidRPr="00C443F5" w:rsidTr="003D25D2">
        <w:trPr>
          <w:trHeight w:val="286"/>
        </w:trPr>
        <w:tc>
          <w:tcPr>
            <w:tcW w:w="2268" w:type="dxa"/>
            <w:shd w:val="clear" w:color="auto" w:fill="auto"/>
          </w:tcPr>
          <w:p w:rsidR="00EA0749" w:rsidRDefault="00EA0749" w:rsidP="00EA0749">
            <w:pPr>
              <w:rPr>
                <w:b/>
              </w:rPr>
            </w:pPr>
            <w:r>
              <w:rPr>
                <w:b/>
              </w:rPr>
              <w:t>Кайгородов О.В.</w:t>
            </w:r>
          </w:p>
        </w:tc>
        <w:tc>
          <w:tcPr>
            <w:tcW w:w="7230" w:type="dxa"/>
            <w:shd w:val="clear" w:color="auto" w:fill="auto"/>
          </w:tcPr>
          <w:p w:rsidR="00EA0749" w:rsidRDefault="00EA0749" w:rsidP="00DF5957">
            <w:pPr>
              <w:jc w:val="both"/>
            </w:pPr>
            <w:r>
              <w:t xml:space="preserve">- юрист </w:t>
            </w:r>
            <w:r w:rsidRPr="00EA0749">
              <w:t>АО «</w:t>
            </w:r>
            <w:proofErr w:type="spellStart"/>
            <w:r w:rsidRPr="00EA0749">
              <w:t>Теплоэнерго</w:t>
            </w:r>
            <w:proofErr w:type="spellEnd"/>
            <w:r w:rsidRPr="00EA0749">
              <w:t>»;</w:t>
            </w:r>
          </w:p>
        </w:tc>
      </w:tr>
      <w:tr w:rsidR="00EA0749" w:rsidRPr="00C443F5" w:rsidTr="003D25D2">
        <w:trPr>
          <w:trHeight w:val="246"/>
        </w:trPr>
        <w:tc>
          <w:tcPr>
            <w:tcW w:w="2268" w:type="dxa"/>
            <w:shd w:val="clear" w:color="auto" w:fill="auto"/>
          </w:tcPr>
          <w:p w:rsidR="00EA0749" w:rsidRDefault="00EA0749" w:rsidP="00EA0749">
            <w:pPr>
              <w:rPr>
                <w:b/>
              </w:rPr>
            </w:pPr>
            <w:proofErr w:type="spellStart"/>
            <w:r>
              <w:rPr>
                <w:b/>
              </w:rPr>
              <w:t>Клапшина</w:t>
            </w:r>
            <w:proofErr w:type="spellEnd"/>
            <w:r>
              <w:rPr>
                <w:b/>
              </w:rPr>
              <w:t xml:space="preserve"> И.И.</w:t>
            </w:r>
          </w:p>
        </w:tc>
        <w:tc>
          <w:tcPr>
            <w:tcW w:w="7230" w:type="dxa"/>
            <w:shd w:val="clear" w:color="auto" w:fill="auto"/>
          </w:tcPr>
          <w:p w:rsidR="00EA0749" w:rsidRDefault="00EA0749" w:rsidP="00DF5957">
            <w:pPr>
              <w:jc w:val="both"/>
            </w:pPr>
            <w:r>
              <w:t xml:space="preserve">- экономист </w:t>
            </w:r>
            <w:r w:rsidRPr="00EA0749">
              <w:t>АО «</w:t>
            </w:r>
            <w:proofErr w:type="spellStart"/>
            <w:r w:rsidRPr="00EA0749">
              <w:t>Теплоэнерго</w:t>
            </w:r>
            <w:proofErr w:type="spellEnd"/>
            <w:r w:rsidRPr="00EA0749">
              <w:t>»;</w:t>
            </w:r>
          </w:p>
        </w:tc>
      </w:tr>
      <w:tr w:rsidR="00EA0749" w:rsidRPr="00C443F5" w:rsidTr="003D25D2">
        <w:trPr>
          <w:trHeight w:val="555"/>
        </w:trPr>
        <w:tc>
          <w:tcPr>
            <w:tcW w:w="2268" w:type="dxa"/>
            <w:shd w:val="clear" w:color="auto" w:fill="auto"/>
          </w:tcPr>
          <w:p w:rsidR="00EA0749" w:rsidRDefault="00EA0749" w:rsidP="00EA0749">
            <w:pPr>
              <w:rPr>
                <w:b/>
              </w:rPr>
            </w:pPr>
            <w:proofErr w:type="spellStart"/>
            <w:r>
              <w:rPr>
                <w:b/>
              </w:rPr>
              <w:t>Кулебякина</w:t>
            </w:r>
            <w:proofErr w:type="spellEnd"/>
            <w:r>
              <w:rPr>
                <w:b/>
              </w:rPr>
              <w:t xml:space="preserve"> Е.Н.</w:t>
            </w:r>
          </w:p>
        </w:tc>
        <w:tc>
          <w:tcPr>
            <w:tcW w:w="7230" w:type="dxa"/>
            <w:shd w:val="clear" w:color="auto" w:fill="auto"/>
          </w:tcPr>
          <w:p w:rsidR="00EA0749" w:rsidRDefault="00EA0749" w:rsidP="00DF5957">
            <w:pPr>
              <w:jc w:val="both"/>
            </w:pPr>
            <w:r>
              <w:t xml:space="preserve">- юрист </w:t>
            </w:r>
            <w:r w:rsidRPr="00EA0749">
              <w:t>«</w:t>
            </w:r>
            <w:proofErr w:type="spellStart"/>
            <w:r w:rsidRPr="00EA0749">
              <w:t>Теплоэнерго</w:t>
            </w:r>
            <w:proofErr w:type="spellEnd"/>
            <w:r w:rsidRPr="00EA0749">
              <w:t>»</w:t>
            </w:r>
            <w:r>
              <w:t>.</w:t>
            </w:r>
          </w:p>
        </w:tc>
      </w:tr>
    </w:tbl>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7"/>
        <w:gridCol w:w="9048"/>
      </w:tblGrid>
      <w:tr w:rsidR="009D2289" w:rsidRPr="008B4C7B" w:rsidTr="00071949">
        <w:trPr>
          <w:trHeight w:val="287"/>
          <w:jc w:val="center"/>
        </w:trPr>
        <w:tc>
          <w:tcPr>
            <w:tcW w:w="557" w:type="dxa"/>
            <w:shd w:val="clear" w:color="auto" w:fill="auto"/>
          </w:tcPr>
          <w:p w:rsidR="009D2289" w:rsidRPr="00E650A9" w:rsidRDefault="009D2289" w:rsidP="009D2289">
            <w:pPr>
              <w:jc w:val="both"/>
            </w:pPr>
            <w:r>
              <w:t>1.</w:t>
            </w:r>
          </w:p>
        </w:tc>
        <w:tc>
          <w:tcPr>
            <w:tcW w:w="9048" w:type="dxa"/>
            <w:shd w:val="clear" w:color="auto" w:fill="auto"/>
          </w:tcPr>
          <w:p w:rsidR="000F0BBE" w:rsidRDefault="000F0BBE" w:rsidP="000F0BBE">
            <w:pPr>
              <w:jc w:val="both"/>
            </w:pPr>
            <w:r>
              <w:t>Об установлении платы за технологическое присоединение к электрическим сетям ОАО «РЖД» энергопринимающих устройств ООО «</w:t>
            </w:r>
            <w:proofErr w:type="spellStart"/>
            <w:r>
              <w:t>КЭнК</w:t>
            </w:r>
            <w:proofErr w:type="spellEnd"/>
            <w:r>
              <w:t xml:space="preserve">» ЛЭП-10 </w:t>
            </w:r>
            <w:proofErr w:type="spellStart"/>
            <w:r>
              <w:t>кВ</w:t>
            </w:r>
            <w:proofErr w:type="spellEnd"/>
            <w:r>
              <w:t xml:space="preserve"> Ф-9-10 РП-10/0,4 </w:t>
            </w:r>
            <w:proofErr w:type="spellStart"/>
            <w:r>
              <w:t>кВ</w:t>
            </w:r>
            <w:proofErr w:type="spellEnd"/>
            <w:r>
              <w:t xml:space="preserve"> (Кемеровская обл., г. Белово) по индивидуальному</w:t>
            </w:r>
          </w:p>
          <w:p w:rsidR="009D2289" w:rsidRPr="008B5776" w:rsidRDefault="000F0BBE" w:rsidP="000F0BBE">
            <w:pPr>
              <w:jc w:val="both"/>
            </w:pPr>
            <w:r>
              <w:t>проекту</w:t>
            </w:r>
          </w:p>
        </w:tc>
      </w:tr>
      <w:tr w:rsidR="009D2289" w:rsidRPr="008B4C7B" w:rsidTr="00071949">
        <w:trPr>
          <w:trHeight w:val="287"/>
          <w:jc w:val="center"/>
        </w:trPr>
        <w:tc>
          <w:tcPr>
            <w:tcW w:w="557" w:type="dxa"/>
            <w:shd w:val="clear" w:color="auto" w:fill="auto"/>
          </w:tcPr>
          <w:p w:rsidR="009D2289" w:rsidRDefault="009D2289" w:rsidP="009D2289">
            <w:pPr>
              <w:jc w:val="both"/>
            </w:pPr>
            <w:r>
              <w:t>2.</w:t>
            </w:r>
          </w:p>
        </w:tc>
        <w:tc>
          <w:tcPr>
            <w:tcW w:w="9048" w:type="dxa"/>
            <w:shd w:val="clear" w:color="auto" w:fill="auto"/>
          </w:tcPr>
          <w:p w:rsidR="009D2289" w:rsidRPr="008B5776" w:rsidRDefault="000F0BBE" w:rsidP="000F0BBE">
            <w:pPr>
              <w:jc w:val="both"/>
              <w:rPr>
                <w:bCs/>
                <w:kern w:val="32"/>
              </w:rPr>
            </w:pPr>
            <w:r w:rsidRPr="000F0BBE">
              <w:rPr>
                <w:bCs/>
                <w:kern w:val="32"/>
              </w:rPr>
              <w:t>О внесении изменений в постановление региональной энергетической</w:t>
            </w:r>
            <w:r>
              <w:rPr>
                <w:bCs/>
                <w:kern w:val="32"/>
              </w:rPr>
              <w:t xml:space="preserve"> </w:t>
            </w:r>
            <w:r w:rsidRPr="000F0BBE">
              <w:rPr>
                <w:bCs/>
                <w:kern w:val="32"/>
              </w:rPr>
              <w:t>комиссии Кемеровской области от 11.12.2015 № 825 «Об установлении</w:t>
            </w:r>
            <w:r>
              <w:rPr>
                <w:bCs/>
                <w:kern w:val="32"/>
              </w:rPr>
              <w:t xml:space="preserve"> </w:t>
            </w:r>
            <w:r w:rsidRPr="000F0BBE">
              <w:rPr>
                <w:bCs/>
                <w:kern w:val="32"/>
              </w:rPr>
              <w:t>АО «</w:t>
            </w:r>
            <w:proofErr w:type="spellStart"/>
            <w:r w:rsidRPr="000F0BBE">
              <w:rPr>
                <w:bCs/>
                <w:kern w:val="32"/>
              </w:rPr>
              <w:t>Теплоэнерго</w:t>
            </w:r>
            <w:proofErr w:type="spellEnd"/>
            <w:r w:rsidRPr="000F0BBE">
              <w:rPr>
                <w:bCs/>
                <w:kern w:val="32"/>
              </w:rPr>
              <w:t>» (г. Кемерово) долгосрочных параметров регулирования</w:t>
            </w:r>
            <w:r>
              <w:rPr>
                <w:bCs/>
                <w:kern w:val="32"/>
              </w:rPr>
              <w:t xml:space="preserve"> </w:t>
            </w:r>
            <w:r w:rsidRPr="000F0BBE">
              <w:rPr>
                <w:bCs/>
                <w:kern w:val="32"/>
              </w:rPr>
              <w:t>и долгосрочных тарифов на тепловую энергию, реализуемую</w:t>
            </w:r>
            <w:r>
              <w:rPr>
                <w:bCs/>
                <w:kern w:val="32"/>
              </w:rPr>
              <w:t xml:space="preserve"> </w:t>
            </w:r>
            <w:r w:rsidRPr="000F0BBE">
              <w:rPr>
                <w:bCs/>
                <w:kern w:val="32"/>
              </w:rPr>
              <w:t>на потребительском рынке г. Кемерово, на 2016-2018 годы»</w:t>
            </w:r>
          </w:p>
        </w:tc>
      </w:tr>
    </w:tbl>
    <w:p w:rsidR="00A40CB4" w:rsidRPr="009A1884" w:rsidRDefault="00A40CB4" w:rsidP="00B90FC6">
      <w:pPr>
        <w:ind w:firstLine="567"/>
        <w:jc w:val="both"/>
        <w:rPr>
          <w:b/>
        </w:rPr>
      </w:pPr>
      <w:bookmarkStart w:id="1"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и предоставил слово докладчику</w:t>
      </w:r>
      <w:bookmarkEnd w:id="1"/>
      <w:r w:rsidR="008B4C7B" w:rsidRPr="009A1884">
        <w:t>.</w:t>
      </w:r>
    </w:p>
    <w:p w:rsidR="009D2289" w:rsidRPr="009D2289" w:rsidRDefault="00682242" w:rsidP="00031DC3">
      <w:pPr>
        <w:ind w:firstLine="567"/>
        <w:jc w:val="both"/>
        <w:rPr>
          <w:b/>
        </w:rPr>
      </w:pPr>
      <w:bookmarkStart w:id="2" w:name="_Hlk508612479"/>
      <w:r w:rsidRPr="009D2289">
        <w:rPr>
          <w:b/>
        </w:rPr>
        <w:lastRenderedPageBreak/>
        <w:t>1</w:t>
      </w:r>
      <w:r w:rsidR="00785624" w:rsidRPr="009D2289">
        <w:rPr>
          <w:b/>
        </w:rPr>
        <w:t xml:space="preserve">. </w:t>
      </w:r>
      <w:r w:rsidR="00031DC3" w:rsidRPr="00031DC3">
        <w:rPr>
          <w:b/>
          <w:bCs/>
          <w:kern w:val="32"/>
        </w:rPr>
        <w:t>Об установлении платы за технологическое присоединение к электрическим сетям ОАО «РЖД» энергопринимающих устройств ООО «</w:t>
      </w:r>
      <w:proofErr w:type="spellStart"/>
      <w:r w:rsidR="00031DC3" w:rsidRPr="00031DC3">
        <w:rPr>
          <w:b/>
          <w:bCs/>
          <w:kern w:val="32"/>
        </w:rPr>
        <w:t>КЭнК</w:t>
      </w:r>
      <w:proofErr w:type="spellEnd"/>
      <w:r w:rsidR="00031DC3" w:rsidRPr="00031DC3">
        <w:rPr>
          <w:b/>
          <w:bCs/>
          <w:kern w:val="32"/>
        </w:rPr>
        <w:t xml:space="preserve">» ЛЭП-10 </w:t>
      </w:r>
      <w:proofErr w:type="spellStart"/>
      <w:r w:rsidR="00031DC3" w:rsidRPr="00031DC3">
        <w:rPr>
          <w:b/>
          <w:bCs/>
          <w:kern w:val="32"/>
        </w:rPr>
        <w:t>кВ</w:t>
      </w:r>
      <w:proofErr w:type="spellEnd"/>
      <w:r w:rsidR="00031DC3" w:rsidRPr="00031DC3">
        <w:rPr>
          <w:b/>
          <w:bCs/>
          <w:kern w:val="32"/>
        </w:rPr>
        <w:t xml:space="preserve"> Ф-9-10 РП-10/0,4 </w:t>
      </w:r>
      <w:proofErr w:type="spellStart"/>
      <w:r w:rsidR="00031DC3" w:rsidRPr="00031DC3">
        <w:rPr>
          <w:b/>
          <w:bCs/>
          <w:kern w:val="32"/>
        </w:rPr>
        <w:t>кВ</w:t>
      </w:r>
      <w:proofErr w:type="spellEnd"/>
      <w:r w:rsidR="00031DC3" w:rsidRPr="00031DC3">
        <w:rPr>
          <w:b/>
          <w:bCs/>
          <w:kern w:val="32"/>
        </w:rPr>
        <w:t xml:space="preserve"> (Кемеровская обл., г. Белово) по индивидуальному</w:t>
      </w:r>
      <w:r w:rsidR="00031DC3">
        <w:rPr>
          <w:b/>
          <w:bCs/>
          <w:kern w:val="32"/>
        </w:rPr>
        <w:t xml:space="preserve"> </w:t>
      </w:r>
      <w:r w:rsidR="00031DC3" w:rsidRPr="00031DC3">
        <w:rPr>
          <w:b/>
          <w:bCs/>
          <w:kern w:val="32"/>
        </w:rPr>
        <w:t>проекту</w:t>
      </w:r>
    </w:p>
    <w:p w:rsidR="009D2289" w:rsidRDefault="009D2289" w:rsidP="0097202D">
      <w:pPr>
        <w:ind w:firstLine="567"/>
        <w:jc w:val="both"/>
      </w:pPr>
    </w:p>
    <w:p w:rsidR="00E134B1" w:rsidRDefault="00696EB7" w:rsidP="00CB2344">
      <w:pPr>
        <w:ind w:firstLine="567"/>
        <w:jc w:val="both"/>
        <w:rPr>
          <w:sz w:val="28"/>
          <w:szCs w:val="28"/>
        </w:rPr>
      </w:pPr>
      <w:r w:rsidRPr="00571815">
        <w:t>Докладчик</w:t>
      </w:r>
      <w:r w:rsidR="00CB2344">
        <w:t>и</w:t>
      </w:r>
      <w:r w:rsidRPr="00571815">
        <w:rPr>
          <w:b/>
        </w:rPr>
        <w:t xml:space="preserve"> </w:t>
      </w:r>
      <w:r w:rsidR="00031DC3" w:rsidRPr="00031DC3">
        <w:rPr>
          <w:b/>
        </w:rPr>
        <w:t>А.Г. Овчинников</w:t>
      </w:r>
      <w:r w:rsidR="00031DC3">
        <w:rPr>
          <w:b/>
        </w:rPr>
        <w:t xml:space="preserve"> </w:t>
      </w:r>
      <w:r w:rsidR="00031DC3" w:rsidRPr="00DF5957">
        <w:t>и</w:t>
      </w:r>
      <w:r w:rsidR="00031DC3" w:rsidRPr="00031DC3">
        <w:rPr>
          <w:b/>
        </w:rPr>
        <w:t xml:space="preserve"> Г.С. </w:t>
      </w:r>
      <w:proofErr w:type="spellStart"/>
      <w:r w:rsidR="00031DC3" w:rsidRPr="00031DC3">
        <w:rPr>
          <w:b/>
        </w:rPr>
        <w:t>Седашкина</w:t>
      </w:r>
      <w:proofErr w:type="spellEnd"/>
      <w:r w:rsidR="00CB2344" w:rsidRPr="00CB2344">
        <w:t xml:space="preserve"> огласи</w:t>
      </w:r>
      <w:r w:rsidR="00DF5957">
        <w:t>в</w:t>
      </w:r>
      <w:r w:rsidR="00CB2344" w:rsidRPr="00CB2344">
        <w:t xml:space="preserve"> экспертное заключение (приложение № 1 к настоящему протоколу) предлагают установить</w:t>
      </w:r>
      <w:r w:rsidR="003F7F8D" w:rsidRPr="003F7F8D">
        <w:t xml:space="preserve"> плату за технологическое присоединение к электрическим сетям ОАО «РЖД» энергопринимающих устройств ООО «</w:t>
      </w:r>
      <w:proofErr w:type="spellStart"/>
      <w:r w:rsidR="003F7F8D" w:rsidRPr="003F7F8D">
        <w:t>КЭнК</w:t>
      </w:r>
      <w:proofErr w:type="spellEnd"/>
      <w:r w:rsidR="003F7F8D" w:rsidRPr="003F7F8D">
        <w:t xml:space="preserve">» (увеличение максимальной мощности на 2 211,8 кВт), ЛЭП-10 </w:t>
      </w:r>
      <w:proofErr w:type="spellStart"/>
      <w:r w:rsidR="003F7F8D" w:rsidRPr="003F7F8D">
        <w:t>кВ</w:t>
      </w:r>
      <w:proofErr w:type="spellEnd"/>
      <w:r w:rsidR="003F7F8D" w:rsidRPr="003F7F8D">
        <w:t xml:space="preserve"> Ф-9-10 РП-10/0,4 </w:t>
      </w:r>
      <w:proofErr w:type="spellStart"/>
      <w:r w:rsidR="003F7F8D" w:rsidRPr="003F7F8D">
        <w:t>кВ</w:t>
      </w:r>
      <w:proofErr w:type="spellEnd"/>
      <w:r w:rsidR="003F7F8D" w:rsidRPr="003F7F8D">
        <w:t xml:space="preserve"> (Кемеровская обл., г. Белово) по индивидуальному проекту</w:t>
      </w:r>
      <w:r w:rsidR="003F7F8D">
        <w:t xml:space="preserve"> согласно приложения № </w:t>
      </w:r>
      <w:r w:rsidR="00AD5B1E">
        <w:t>2 к настоящему протоколу.</w:t>
      </w:r>
    </w:p>
    <w:p w:rsidR="00071949" w:rsidRDefault="00071949" w:rsidP="001030F0">
      <w:pPr>
        <w:pStyle w:val="affff0"/>
        <w:ind w:right="-1"/>
        <w:jc w:val="both"/>
        <w:rPr>
          <w:b w:val="0"/>
          <w:sz w:val="28"/>
          <w:szCs w:val="28"/>
        </w:rPr>
      </w:pPr>
    </w:p>
    <w:p w:rsidR="00AA4278" w:rsidRPr="00886672" w:rsidRDefault="00AA4278" w:rsidP="00AA4278">
      <w:pPr>
        <w:ind w:firstLine="567"/>
        <w:jc w:val="both"/>
        <w:rPr>
          <w:bCs/>
          <w:kern w:val="32"/>
        </w:rPr>
      </w:pPr>
      <w:r w:rsidRPr="00886672">
        <w:t>Рассмотрев представленные материалы, Правление региональной энергетической комиссии Кемеровской области</w:t>
      </w:r>
    </w:p>
    <w:p w:rsidR="00AA4278" w:rsidRPr="00F95212" w:rsidRDefault="00AA4278" w:rsidP="001030F0">
      <w:pPr>
        <w:pStyle w:val="affff0"/>
        <w:ind w:right="-1"/>
        <w:jc w:val="both"/>
        <w:rPr>
          <w:b w:val="0"/>
          <w:sz w:val="28"/>
          <w:szCs w:val="28"/>
        </w:rPr>
      </w:pPr>
    </w:p>
    <w:p w:rsidR="00852D83" w:rsidRDefault="00E134B1" w:rsidP="00AD5B1E">
      <w:pPr>
        <w:ind w:firstLine="567"/>
        <w:jc w:val="both"/>
        <w:rPr>
          <w:b/>
        </w:rPr>
      </w:pPr>
      <w:r>
        <w:rPr>
          <w:b/>
        </w:rPr>
        <w:t>ПОСТАНОВ</w:t>
      </w:r>
      <w:r w:rsidR="001030F0">
        <w:rPr>
          <w:b/>
        </w:rPr>
        <w:t>И</w:t>
      </w:r>
      <w:r w:rsidR="001030F0" w:rsidRPr="00E17B99">
        <w:rPr>
          <w:b/>
        </w:rPr>
        <w:t>ЛО:</w:t>
      </w:r>
    </w:p>
    <w:p w:rsidR="00AD5B1E" w:rsidRDefault="00AD5B1E" w:rsidP="00AD5B1E">
      <w:pPr>
        <w:ind w:firstLine="567"/>
        <w:jc w:val="both"/>
        <w:rPr>
          <w:b/>
        </w:rPr>
      </w:pPr>
    </w:p>
    <w:p w:rsidR="00AD5B1E" w:rsidRPr="00E134B1" w:rsidRDefault="00AD5B1E" w:rsidP="00AD5B1E">
      <w:pPr>
        <w:ind w:firstLine="567"/>
        <w:jc w:val="both"/>
      </w:pPr>
      <w:r w:rsidRPr="00E134B1">
        <w:t>Согласиться с предложением докладчика.</w:t>
      </w:r>
    </w:p>
    <w:p w:rsidR="00AD5B1E" w:rsidRPr="00AD5B1E" w:rsidRDefault="00AD5B1E" w:rsidP="00AD5B1E">
      <w:pPr>
        <w:ind w:firstLine="567"/>
        <w:jc w:val="both"/>
        <w:rPr>
          <w:b/>
        </w:rPr>
      </w:pPr>
    </w:p>
    <w:p w:rsidR="00E134B1" w:rsidRDefault="00D60F30" w:rsidP="00E134B1">
      <w:pPr>
        <w:ind w:firstLine="567"/>
        <w:jc w:val="both"/>
        <w:rPr>
          <w:b/>
        </w:rPr>
      </w:pPr>
      <w:bookmarkStart w:id="3" w:name="_Hlk508612522"/>
      <w:bookmarkStart w:id="4" w:name="_Hlk511654477"/>
      <w:bookmarkEnd w:id="2"/>
      <w:r w:rsidRPr="00E17B99">
        <w:rPr>
          <w:b/>
        </w:rPr>
        <w:t xml:space="preserve">Голосовали «ЗА» – </w:t>
      </w:r>
      <w:r>
        <w:rPr>
          <w:b/>
        </w:rPr>
        <w:t>единогласно.</w:t>
      </w:r>
      <w:bookmarkEnd w:id="3"/>
    </w:p>
    <w:bookmarkEnd w:id="4"/>
    <w:p w:rsidR="00E134B1" w:rsidRDefault="00E134B1" w:rsidP="00E134B1">
      <w:pPr>
        <w:ind w:firstLine="567"/>
        <w:jc w:val="both"/>
        <w:rPr>
          <w:bCs/>
          <w:kern w:val="32"/>
        </w:rPr>
      </w:pPr>
    </w:p>
    <w:p w:rsidR="00AD5B1E" w:rsidRDefault="00AD5B1E" w:rsidP="00E134B1">
      <w:pPr>
        <w:ind w:firstLine="567"/>
        <w:jc w:val="both"/>
        <w:rPr>
          <w:bCs/>
          <w:kern w:val="32"/>
        </w:rPr>
      </w:pPr>
    </w:p>
    <w:p w:rsidR="00A55447" w:rsidRDefault="00E134B1" w:rsidP="00E134B1">
      <w:pPr>
        <w:ind w:firstLine="567"/>
        <w:jc w:val="both"/>
        <w:rPr>
          <w:b/>
          <w:bCs/>
          <w:kern w:val="32"/>
        </w:rPr>
      </w:pPr>
      <w:r>
        <w:rPr>
          <w:b/>
          <w:bCs/>
          <w:kern w:val="32"/>
        </w:rPr>
        <w:t xml:space="preserve">2. </w:t>
      </w:r>
      <w:r w:rsidR="00AD5B1E" w:rsidRPr="00AD5B1E">
        <w:rPr>
          <w:b/>
          <w:bCs/>
          <w:kern w:val="32"/>
        </w:rPr>
        <w:t xml:space="preserve">О внесении изменений в постановление региональной энергетической комиссии Кемеровской области от 11.12.2015 № 825 «Об установлении </w:t>
      </w:r>
      <w:r w:rsidR="002C6E87">
        <w:rPr>
          <w:b/>
          <w:bCs/>
          <w:kern w:val="32"/>
        </w:rPr>
        <w:br/>
      </w:r>
      <w:r w:rsidR="00AD5B1E" w:rsidRPr="00AD5B1E">
        <w:rPr>
          <w:b/>
          <w:bCs/>
          <w:kern w:val="32"/>
        </w:rPr>
        <w:t>АО «</w:t>
      </w:r>
      <w:proofErr w:type="spellStart"/>
      <w:r w:rsidR="00AD5B1E" w:rsidRPr="00AD5B1E">
        <w:rPr>
          <w:b/>
          <w:bCs/>
          <w:kern w:val="32"/>
        </w:rPr>
        <w:t>Теплоэнерго</w:t>
      </w:r>
      <w:proofErr w:type="spellEnd"/>
      <w:r w:rsidR="00AD5B1E" w:rsidRPr="00AD5B1E">
        <w:rPr>
          <w:b/>
          <w:bCs/>
          <w:kern w:val="32"/>
        </w:rPr>
        <w:t>» (г. Кемерово) долгосрочных параметров регулирования и долгосрочных тарифов на тепловую энергию, реализуемую на потребительском рынке г. Кемерово, на 2016-2018 годы»</w:t>
      </w:r>
    </w:p>
    <w:p w:rsidR="00E134B1" w:rsidRDefault="00E134B1" w:rsidP="00E134B1">
      <w:pPr>
        <w:ind w:firstLine="567"/>
        <w:jc w:val="both"/>
        <w:rPr>
          <w:b/>
        </w:rPr>
      </w:pPr>
    </w:p>
    <w:p w:rsidR="00E134B1" w:rsidRDefault="00E134B1" w:rsidP="00E134B1">
      <w:pPr>
        <w:ind w:firstLine="567"/>
        <w:jc w:val="both"/>
      </w:pPr>
      <w:r w:rsidRPr="00571815">
        <w:t>Докладчик</w:t>
      </w:r>
      <w:r w:rsidRPr="00571815">
        <w:rPr>
          <w:b/>
        </w:rPr>
        <w:t xml:space="preserve"> </w:t>
      </w:r>
      <w:r>
        <w:rPr>
          <w:b/>
        </w:rPr>
        <w:t>Незнанов П.Г.</w:t>
      </w:r>
      <w:r w:rsidRPr="00571815">
        <w:rPr>
          <w:b/>
        </w:rPr>
        <w:t xml:space="preserve"> </w:t>
      </w:r>
      <w:r>
        <w:t>пояснил:</w:t>
      </w:r>
    </w:p>
    <w:p w:rsidR="00E134B1" w:rsidRDefault="00E134B1" w:rsidP="00E134B1">
      <w:pPr>
        <w:ind w:firstLine="567"/>
        <w:jc w:val="both"/>
        <w:rPr>
          <w:b/>
        </w:rPr>
      </w:pPr>
    </w:p>
    <w:p w:rsidR="00502C35" w:rsidRDefault="00502C35" w:rsidP="00502C35">
      <w:pPr>
        <w:ind w:right="142" w:firstLine="709"/>
        <w:jc w:val="both"/>
      </w:pPr>
      <w:r>
        <w:t>В соответствии с п. 33 «Методических указаний по расчету регулируемых цен (тарифов) в сфере теплоснабжения», утвержденных Приказом ФСТ России от 13.06.2013 № 760-э, при расчете долгосрочных тарифов методом индексации установленных тарифов необходимая валовая выручка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 в т.ч.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АО «</w:t>
      </w:r>
      <w:proofErr w:type="spellStart"/>
      <w:r>
        <w:t>Теплоэнерго</w:t>
      </w:r>
      <w:proofErr w:type="spellEnd"/>
      <w:r>
        <w:t>» программу об энергосбережении и о повышении энергетической эффективности не представило.</w:t>
      </w:r>
    </w:p>
    <w:p w:rsidR="00502C35" w:rsidRDefault="00502C35" w:rsidP="00502C35">
      <w:pPr>
        <w:ind w:right="142" w:firstLine="709"/>
        <w:jc w:val="both"/>
      </w:pPr>
      <w:r>
        <w:t>Предприятие считает, что на момент утверждения долгосрочных параметров регулирования в отношении АО «</w:t>
      </w:r>
      <w:proofErr w:type="spellStart"/>
      <w:r>
        <w:t>Теплоэнерго</w:t>
      </w:r>
      <w:proofErr w:type="spellEnd"/>
      <w:r>
        <w:t>» действовала утвержденная Постановлением Администрации г. Кемерово от 21.10.2015</w:t>
      </w:r>
      <w:r w:rsidR="00012E12">
        <w:t xml:space="preserve"> </w:t>
      </w:r>
      <w:r>
        <w:t>№ 2504 муниципальная программа «Энергосбережение и повышение энергетической эффективности на территории г. Кемерово» на 2015- 2018 гг.</w:t>
      </w:r>
    </w:p>
    <w:p w:rsidR="00E134B1" w:rsidRPr="00E134B1" w:rsidRDefault="00502C35" w:rsidP="00502C35">
      <w:pPr>
        <w:ind w:right="142" w:firstLine="709"/>
        <w:jc w:val="both"/>
      </w:pPr>
      <w:r>
        <w:t xml:space="preserve">РЭК Кемеровской области считает, что вышеуказанная программа энергосбережения является муниципальной, а предприятие должно иметь собственную программу энергосбережения и повышения энергетической эффективности, соответствующую постановлению РЭК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мероприятия которой, согласно </w:t>
      </w:r>
      <w:r>
        <w:lastRenderedPageBreak/>
        <w:t>п. 5 статьи 25 Федерального закона от 23.11.2009 № 261-ФЗ «Об энергосбережении и о повышении энергетической эффективности и о внесении изменения в отдельные законодательные акты Российской Федерации», должны учитываться при формировании инвестиционной программы организации. Утвержденная инвестиционная программа для АО «</w:t>
      </w:r>
      <w:proofErr w:type="spellStart"/>
      <w:r>
        <w:t>Теплоэнерго</w:t>
      </w:r>
      <w:proofErr w:type="spellEnd"/>
      <w:r>
        <w:t>» не содержит мероприятий, приводящих к изменению удельного расхода условного топлива.</w:t>
      </w:r>
    </w:p>
    <w:p w:rsidR="00E134B1" w:rsidRDefault="00E134B1" w:rsidP="00E134B1">
      <w:pPr>
        <w:ind w:firstLine="567"/>
        <w:jc w:val="both"/>
        <w:rPr>
          <w:b/>
        </w:rPr>
      </w:pPr>
    </w:p>
    <w:p w:rsidR="00AA4278" w:rsidRPr="00886672" w:rsidRDefault="00AA4278" w:rsidP="00AA4278">
      <w:pPr>
        <w:ind w:firstLine="567"/>
        <w:jc w:val="both"/>
        <w:rPr>
          <w:bCs/>
          <w:kern w:val="32"/>
        </w:rPr>
      </w:pPr>
      <w:r w:rsidRPr="00886672">
        <w:t>Рассмотрев представленные материалы, Правление региональной энергетической комиссии Кемеровской области</w:t>
      </w:r>
    </w:p>
    <w:p w:rsidR="00AA4278" w:rsidRDefault="00AA4278" w:rsidP="00E134B1">
      <w:pPr>
        <w:ind w:firstLine="567"/>
        <w:jc w:val="both"/>
        <w:rPr>
          <w:b/>
        </w:rPr>
      </w:pPr>
    </w:p>
    <w:p w:rsidR="00E134B1" w:rsidRDefault="003B19E2" w:rsidP="00E134B1">
      <w:pPr>
        <w:ind w:firstLine="567"/>
        <w:jc w:val="both"/>
        <w:rPr>
          <w:b/>
        </w:rPr>
      </w:pPr>
      <w:r>
        <w:rPr>
          <w:b/>
        </w:rPr>
        <w:t>ПОСТАНОВИЛО:</w:t>
      </w:r>
    </w:p>
    <w:p w:rsidR="00E134B1" w:rsidRDefault="00E134B1" w:rsidP="00E134B1">
      <w:pPr>
        <w:ind w:firstLine="567"/>
        <w:jc w:val="both"/>
        <w:rPr>
          <w:b/>
        </w:rPr>
      </w:pPr>
    </w:p>
    <w:p w:rsidR="00E134B1" w:rsidRPr="003B19E2" w:rsidRDefault="003B19E2" w:rsidP="00E134B1">
      <w:pPr>
        <w:ind w:firstLine="567"/>
        <w:jc w:val="both"/>
        <w:rPr>
          <w:b/>
          <w:sz w:val="22"/>
        </w:rPr>
      </w:pPr>
      <w:r w:rsidRPr="003B19E2">
        <w:rPr>
          <w:bCs/>
          <w:szCs w:val="28"/>
        </w:rPr>
        <w:t>Внести изменения в приложение № 1 к постановлению региональной энергетической комиссии Кемеровской области от 11.12.2015</w:t>
      </w:r>
      <w:r>
        <w:rPr>
          <w:bCs/>
          <w:szCs w:val="28"/>
        </w:rPr>
        <w:t xml:space="preserve"> </w:t>
      </w:r>
      <w:r w:rsidRPr="003B19E2">
        <w:rPr>
          <w:bCs/>
          <w:szCs w:val="28"/>
        </w:rPr>
        <w:t>№ 825 «Об установлении АО «</w:t>
      </w:r>
      <w:proofErr w:type="spellStart"/>
      <w:r w:rsidRPr="003B19E2">
        <w:rPr>
          <w:bCs/>
          <w:szCs w:val="28"/>
        </w:rPr>
        <w:t>Теплоэнерго</w:t>
      </w:r>
      <w:proofErr w:type="spellEnd"/>
      <w:r w:rsidRPr="003B19E2">
        <w:rPr>
          <w:bCs/>
          <w:szCs w:val="28"/>
        </w:rPr>
        <w:t xml:space="preserve">» (г. Кемерово) долгосрочных параметров регулирования и долгосрочных тарифов на тепловую энергию, реализуемую на потребительском рынке г. Кемерово, на 2016-2018 годы» (в редакции постановлений региональной энергетической комиссии Кемеровской области от 20.12.2016 № 625, от 14.12.2017 № 494, от 20.12.2017 № 605), изложив его в новой редакции согласно приложению </w:t>
      </w:r>
      <w:r>
        <w:rPr>
          <w:bCs/>
          <w:szCs w:val="28"/>
        </w:rPr>
        <w:t xml:space="preserve">№ 3 </w:t>
      </w:r>
      <w:r w:rsidRPr="003B19E2">
        <w:rPr>
          <w:bCs/>
          <w:szCs w:val="28"/>
        </w:rPr>
        <w:t>к настоящему п</w:t>
      </w:r>
      <w:r>
        <w:rPr>
          <w:bCs/>
          <w:szCs w:val="28"/>
        </w:rPr>
        <w:t>ротоколу.</w:t>
      </w:r>
    </w:p>
    <w:p w:rsidR="00AA4278" w:rsidRDefault="00AA4278" w:rsidP="00E134B1">
      <w:pPr>
        <w:ind w:firstLine="567"/>
        <w:jc w:val="both"/>
        <w:rPr>
          <w:b/>
        </w:rPr>
      </w:pPr>
    </w:p>
    <w:p w:rsidR="00E35736" w:rsidRDefault="00E35736" w:rsidP="00E35736">
      <w:pPr>
        <w:ind w:firstLine="567"/>
        <w:jc w:val="both"/>
        <w:rPr>
          <w:b/>
        </w:rPr>
      </w:pPr>
      <w:r w:rsidRPr="00E17B99">
        <w:rPr>
          <w:b/>
        </w:rPr>
        <w:t xml:space="preserve">Голосовали «ЗА» – </w:t>
      </w:r>
      <w:r>
        <w:rPr>
          <w:b/>
        </w:rPr>
        <w:t>единогласно.</w:t>
      </w:r>
    </w:p>
    <w:p w:rsidR="00AA4278" w:rsidRPr="00E134B1" w:rsidRDefault="00AA4278" w:rsidP="00E134B1">
      <w:pPr>
        <w:ind w:firstLine="567"/>
        <w:jc w:val="both"/>
        <w:rPr>
          <w:b/>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57441D" w:rsidRDefault="0057441D" w:rsidP="00CB452B">
      <w:pPr>
        <w:jc w:val="both"/>
      </w:pPr>
    </w:p>
    <w:p w:rsidR="00005BBB" w:rsidRDefault="00005BBB" w:rsidP="00CB452B">
      <w:pPr>
        <w:jc w:val="both"/>
      </w:pPr>
    </w:p>
    <w:p w:rsidR="00005BBB" w:rsidRPr="00E17B99" w:rsidRDefault="00005BBB" w:rsidP="00005BBB">
      <w:pPr>
        <w:ind w:firstLine="567"/>
        <w:jc w:val="both"/>
      </w:pPr>
      <w:r w:rsidRPr="00E17B99">
        <w:t>_____________________</w:t>
      </w:r>
      <w:r>
        <w:t>П.Г. Незнанов</w:t>
      </w:r>
    </w:p>
    <w:p w:rsidR="00A55447" w:rsidRDefault="00A55447" w:rsidP="00CB452B">
      <w:pPr>
        <w:jc w:val="both"/>
      </w:pPr>
    </w:p>
    <w:p w:rsidR="00696EB7" w:rsidRDefault="00696EB7" w:rsidP="00CB452B">
      <w:pPr>
        <w:jc w:val="both"/>
      </w:pPr>
    </w:p>
    <w:p w:rsidR="003B19E2" w:rsidRDefault="003B19E2" w:rsidP="00CB452B">
      <w:pPr>
        <w:jc w:val="both"/>
      </w:pPr>
      <w:r>
        <w:tab/>
        <w:t>_____________________О.А. Чурсина</w:t>
      </w:r>
    </w:p>
    <w:p w:rsidR="003B19E2" w:rsidRDefault="003B19E2" w:rsidP="00CB452B">
      <w:pPr>
        <w:jc w:val="both"/>
      </w:pPr>
    </w:p>
    <w:p w:rsidR="003B19E2" w:rsidRDefault="003B19E2" w:rsidP="00CB452B">
      <w:pPr>
        <w:jc w:val="both"/>
      </w:pPr>
    </w:p>
    <w:p w:rsidR="00696EB7" w:rsidRDefault="00696EB7" w:rsidP="00696EB7">
      <w:pPr>
        <w:ind w:firstLine="567"/>
        <w:jc w:val="both"/>
      </w:pPr>
      <w:r w:rsidRPr="00E17B99">
        <w:t>_____________________</w:t>
      </w:r>
      <w:r>
        <w:t>А.В. Дюков</w:t>
      </w:r>
    </w:p>
    <w:p w:rsidR="003B19E2" w:rsidRDefault="003B19E2" w:rsidP="00696EB7">
      <w:pPr>
        <w:ind w:firstLine="567"/>
        <w:jc w:val="both"/>
      </w:pPr>
    </w:p>
    <w:p w:rsidR="003B19E2" w:rsidRPr="00E17B99" w:rsidRDefault="003B19E2" w:rsidP="00696EB7">
      <w:pPr>
        <w:ind w:firstLine="567"/>
        <w:jc w:val="both"/>
      </w:pPr>
    </w:p>
    <w:p w:rsidR="00005BBB" w:rsidRDefault="003B19E2" w:rsidP="00005BBB">
      <w:pPr>
        <w:ind w:firstLine="567"/>
        <w:jc w:val="both"/>
      </w:pPr>
      <w:r>
        <w:t xml:space="preserve">_____________________М.В. </w:t>
      </w:r>
      <w:proofErr w:type="spellStart"/>
      <w:r>
        <w:t>Кулебякина</w:t>
      </w:r>
      <w:proofErr w:type="spellEnd"/>
    </w:p>
    <w:p w:rsidR="00A55447" w:rsidRDefault="00A55447" w:rsidP="00102748"/>
    <w:p w:rsidR="003B19E2" w:rsidRPr="00E17B99" w:rsidRDefault="003B19E2" w:rsidP="00102748"/>
    <w:p w:rsidR="00B60BB1" w:rsidRDefault="000F3683" w:rsidP="00487EFF">
      <w:pPr>
        <w:ind w:firstLine="567"/>
      </w:pPr>
      <w:r w:rsidRPr="00D5286A">
        <w:t xml:space="preserve">Секретарь заседания: ____________________ </w:t>
      </w:r>
      <w:r w:rsidR="005C154B">
        <w:t>К.С. Юхневич</w:t>
      </w:r>
    </w:p>
    <w:p w:rsidR="007A5F6E" w:rsidRDefault="007A5F6E" w:rsidP="00AA69B7">
      <w:pPr>
        <w:tabs>
          <w:tab w:val="left" w:pos="2520"/>
        </w:tabs>
        <w:rPr>
          <w:lang w:eastAsia="x-none"/>
        </w:rPr>
        <w:sectPr w:rsidR="007A5F6E" w:rsidSect="00AD5B1E">
          <w:headerReference w:type="default" r:id="rId8"/>
          <w:pgSz w:w="11906" w:h="16838"/>
          <w:pgMar w:top="1134" w:right="850" w:bottom="1134" w:left="1701" w:header="426" w:footer="709" w:gutter="0"/>
          <w:cols w:space="708"/>
          <w:titlePg/>
          <w:docGrid w:linePitch="360"/>
        </w:sectPr>
      </w:pPr>
    </w:p>
    <w:p w:rsidR="00E051BD" w:rsidRDefault="00E051BD" w:rsidP="00E051BD">
      <w:pPr>
        <w:tabs>
          <w:tab w:val="left" w:pos="2520"/>
        </w:tabs>
        <w:ind w:left="5103"/>
        <w:rPr>
          <w:lang w:eastAsia="x-none"/>
        </w:rPr>
      </w:pPr>
      <w:r>
        <w:rPr>
          <w:lang w:eastAsia="x-none"/>
        </w:rPr>
        <w:lastRenderedPageBreak/>
        <w:t xml:space="preserve">Приложение № 1 к протоколу </w:t>
      </w:r>
    </w:p>
    <w:p w:rsidR="00E051BD" w:rsidRDefault="00E051BD" w:rsidP="00E051BD">
      <w:pPr>
        <w:tabs>
          <w:tab w:val="left" w:pos="2520"/>
        </w:tabs>
        <w:ind w:left="5103"/>
        <w:rPr>
          <w:lang w:eastAsia="x-none"/>
        </w:rPr>
      </w:pPr>
      <w:r>
        <w:rPr>
          <w:lang w:eastAsia="x-none"/>
        </w:rPr>
        <w:t xml:space="preserve">№ 16 заседания правления региональной </w:t>
      </w:r>
    </w:p>
    <w:p w:rsidR="00E051BD" w:rsidRDefault="00E051BD" w:rsidP="00E051BD">
      <w:pPr>
        <w:tabs>
          <w:tab w:val="left" w:pos="2520"/>
        </w:tabs>
        <w:ind w:left="5103"/>
        <w:rPr>
          <w:lang w:eastAsia="x-none"/>
        </w:rPr>
      </w:pPr>
      <w:r>
        <w:rPr>
          <w:lang w:eastAsia="x-none"/>
        </w:rPr>
        <w:t xml:space="preserve">энергетической комиссии Кемеровской </w:t>
      </w:r>
    </w:p>
    <w:p w:rsidR="00AF7162" w:rsidRDefault="00E051BD" w:rsidP="00E051BD">
      <w:pPr>
        <w:tabs>
          <w:tab w:val="left" w:pos="2520"/>
        </w:tabs>
        <w:ind w:left="5103"/>
        <w:rPr>
          <w:lang w:eastAsia="x-none"/>
        </w:rPr>
      </w:pPr>
      <w:r>
        <w:rPr>
          <w:lang w:eastAsia="x-none"/>
        </w:rPr>
        <w:t>области от 10.04.2018</w:t>
      </w:r>
    </w:p>
    <w:p w:rsidR="00E051BD" w:rsidRDefault="00E051BD" w:rsidP="00E051BD">
      <w:pPr>
        <w:tabs>
          <w:tab w:val="left" w:pos="2520"/>
        </w:tabs>
        <w:rPr>
          <w:lang w:eastAsia="x-none"/>
        </w:rPr>
      </w:pPr>
    </w:p>
    <w:p w:rsidR="00E051BD" w:rsidRPr="00E051BD" w:rsidRDefault="00E051BD" w:rsidP="00E051BD">
      <w:pPr>
        <w:spacing w:line="276" w:lineRule="auto"/>
        <w:jc w:val="center"/>
        <w:rPr>
          <w:b/>
          <w:szCs w:val="28"/>
        </w:rPr>
      </w:pPr>
      <w:r w:rsidRPr="00E051BD">
        <w:rPr>
          <w:b/>
          <w:szCs w:val="28"/>
        </w:rPr>
        <w:t>Экспертное заключение</w:t>
      </w:r>
    </w:p>
    <w:p w:rsidR="00E051BD" w:rsidRPr="00E051BD" w:rsidRDefault="00E051BD" w:rsidP="00E051BD">
      <w:pPr>
        <w:spacing w:line="276" w:lineRule="auto"/>
        <w:jc w:val="center"/>
        <w:rPr>
          <w:b/>
          <w:szCs w:val="28"/>
        </w:rPr>
      </w:pPr>
      <w:r w:rsidRPr="00E051BD">
        <w:rPr>
          <w:b/>
          <w:szCs w:val="28"/>
        </w:rPr>
        <w:t>региональной энергетической комиссии Кемеровской области</w:t>
      </w:r>
    </w:p>
    <w:p w:rsidR="00E051BD" w:rsidRPr="00E051BD" w:rsidRDefault="00E051BD" w:rsidP="00E051BD">
      <w:pPr>
        <w:spacing w:line="276" w:lineRule="auto"/>
        <w:jc w:val="center"/>
        <w:rPr>
          <w:szCs w:val="28"/>
        </w:rPr>
      </w:pPr>
      <w:r w:rsidRPr="00E051BD">
        <w:rPr>
          <w:szCs w:val="28"/>
        </w:rPr>
        <w:t xml:space="preserve">по установлению платы за технологическое присоединение </w:t>
      </w:r>
    </w:p>
    <w:p w:rsidR="00E051BD" w:rsidRPr="00E051BD" w:rsidRDefault="00E051BD" w:rsidP="00E051BD">
      <w:pPr>
        <w:spacing w:line="276" w:lineRule="auto"/>
        <w:jc w:val="center"/>
        <w:rPr>
          <w:szCs w:val="28"/>
        </w:rPr>
      </w:pPr>
      <w:r w:rsidRPr="00E051BD">
        <w:rPr>
          <w:szCs w:val="28"/>
        </w:rPr>
        <w:t>к электрическим сетям ОАО «РЖД» энергопринимающих устройств</w:t>
      </w:r>
    </w:p>
    <w:p w:rsidR="00E051BD" w:rsidRPr="00E051BD" w:rsidRDefault="00E051BD" w:rsidP="00E051BD">
      <w:pPr>
        <w:spacing w:line="276" w:lineRule="auto"/>
        <w:jc w:val="center"/>
        <w:rPr>
          <w:szCs w:val="28"/>
        </w:rPr>
      </w:pPr>
      <w:r w:rsidRPr="00E051BD">
        <w:rPr>
          <w:szCs w:val="28"/>
        </w:rPr>
        <w:t>ООО «</w:t>
      </w:r>
      <w:proofErr w:type="spellStart"/>
      <w:r w:rsidRPr="00E051BD">
        <w:rPr>
          <w:szCs w:val="28"/>
        </w:rPr>
        <w:t>КЭнК</w:t>
      </w:r>
      <w:proofErr w:type="spellEnd"/>
      <w:r w:rsidRPr="00E051BD">
        <w:rPr>
          <w:szCs w:val="28"/>
        </w:rPr>
        <w:t>» (увеличение максимальной мощности на 2 211,8 кВт),</w:t>
      </w:r>
    </w:p>
    <w:p w:rsidR="00E051BD" w:rsidRPr="00E051BD" w:rsidRDefault="00E051BD" w:rsidP="00E051BD">
      <w:pPr>
        <w:spacing w:line="276" w:lineRule="auto"/>
        <w:jc w:val="center"/>
        <w:rPr>
          <w:szCs w:val="28"/>
        </w:rPr>
      </w:pPr>
      <w:r w:rsidRPr="00E051BD">
        <w:rPr>
          <w:szCs w:val="28"/>
        </w:rPr>
        <w:t xml:space="preserve">ЛЭП-10 </w:t>
      </w:r>
      <w:proofErr w:type="spellStart"/>
      <w:r w:rsidRPr="00E051BD">
        <w:rPr>
          <w:szCs w:val="28"/>
        </w:rPr>
        <w:t>кВ</w:t>
      </w:r>
      <w:proofErr w:type="spellEnd"/>
      <w:r w:rsidRPr="00E051BD">
        <w:rPr>
          <w:szCs w:val="28"/>
        </w:rPr>
        <w:t xml:space="preserve"> Ф-9-10 РП-10/0,4 </w:t>
      </w:r>
      <w:proofErr w:type="spellStart"/>
      <w:r w:rsidRPr="00E051BD">
        <w:rPr>
          <w:szCs w:val="28"/>
        </w:rPr>
        <w:t>кВ</w:t>
      </w:r>
      <w:proofErr w:type="spellEnd"/>
      <w:r w:rsidRPr="00E051BD">
        <w:rPr>
          <w:szCs w:val="28"/>
        </w:rPr>
        <w:t xml:space="preserve"> (Кемеровская обл., г. Белово) </w:t>
      </w:r>
    </w:p>
    <w:p w:rsidR="00E051BD" w:rsidRPr="00E051BD" w:rsidRDefault="00E051BD" w:rsidP="00E051BD">
      <w:pPr>
        <w:spacing w:line="276" w:lineRule="auto"/>
        <w:jc w:val="center"/>
        <w:rPr>
          <w:szCs w:val="28"/>
        </w:rPr>
      </w:pPr>
      <w:r w:rsidRPr="00E051BD">
        <w:rPr>
          <w:szCs w:val="28"/>
        </w:rPr>
        <w:t>по индивидуальному проекту.</w:t>
      </w:r>
    </w:p>
    <w:p w:rsidR="00E051BD" w:rsidRPr="00E051BD" w:rsidRDefault="00E051BD" w:rsidP="00E051BD">
      <w:pPr>
        <w:spacing w:line="276" w:lineRule="auto"/>
        <w:jc w:val="center"/>
        <w:rPr>
          <w:szCs w:val="28"/>
        </w:rPr>
      </w:pPr>
    </w:p>
    <w:p w:rsidR="00E051BD" w:rsidRPr="00E051BD" w:rsidRDefault="00E051BD" w:rsidP="00E051BD">
      <w:pPr>
        <w:spacing w:line="276" w:lineRule="auto"/>
        <w:jc w:val="center"/>
        <w:rPr>
          <w:b/>
          <w:szCs w:val="28"/>
        </w:rPr>
      </w:pPr>
    </w:p>
    <w:p w:rsidR="00320144" w:rsidRPr="00320144" w:rsidRDefault="00320144" w:rsidP="00320144">
      <w:pPr>
        <w:spacing w:line="276" w:lineRule="auto"/>
        <w:jc w:val="center"/>
        <w:rPr>
          <w:b/>
          <w:szCs w:val="28"/>
        </w:rPr>
      </w:pPr>
      <w:r w:rsidRPr="00320144">
        <w:rPr>
          <w:b/>
          <w:szCs w:val="28"/>
        </w:rPr>
        <w:t>Анализ заявки на технологическое присоединение</w:t>
      </w:r>
    </w:p>
    <w:p w:rsidR="00320144" w:rsidRPr="00320144" w:rsidRDefault="00320144" w:rsidP="00320144">
      <w:pPr>
        <w:spacing w:line="276" w:lineRule="auto"/>
        <w:jc w:val="center"/>
        <w:rPr>
          <w:b/>
          <w:szCs w:val="28"/>
        </w:rPr>
      </w:pPr>
    </w:p>
    <w:p w:rsidR="00320144" w:rsidRPr="00320144" w:rsidRDefault="00320144" w:rsidP="00320144">
      <w:pPr>
        <w:spacing w:line="276" w:lineRule="auto"/>
        <w:ind w:firstLine="708"/>
        <w:jc w:val="both"/>
        <w:rPr>
          <w:szCs w:val="28"/>
        </w:rPr>
      </w:pPr>
      <w:r w:rsidRPr="00320144">
        <w:rPr>
          <w:szCs w:val="28"/>
        </w:rPr>
        <w:t>ООО «</w:t>
      </w:r>
      <w:proofErr w:type="spellStart"/>
      <w:r w:rsidRPr="00320144">
        <w:rPr>
          <w:szCs w:val="28"/>
        </w:rPr>
        <w:t>КЭнК</w:t>
      </w:r>
      <w:proofErr w:type="spellEnd"/>
      <w:r w:rsidRPr="00320144">
        <w:rPr>
          <w:szCs w:val="28"/>
        </w:rPr>
        <w:t xml:space="preserve">» подало в адрес ОАО «РЖД» заявку на технологическое присоединение энергопринимающих устройств ЛЭП-10 </w:t>
      </w:r>
      <w:proofErr w:type="spellStart"/>
      <w:r w:rsidRPr="00320144">
        <w:rPr>
          <w:szCs w:val="28"/>
        </w:rPr>
        <w:t>кВ</w:t>
      </w:r>
      <w:proofErr w:type="spellEnd"/>
      <w:r w:rsidRPr="00320144">
        <w:rPr>
          <w:szCs w:val="28"/>
        </w:rPr>
        <w:t xml:space="preserve"> Ф-9-10 РП-10/0,4 </w:t>
      </w:r>
      <w:proofErr w:type="spellStart"/>
      <w:r w:rsidRPr="00320144">
        <w:rPr>
          <w:szCs w:val="28"/>
        </w:rPr>
        <w:t>кВ.</w:t>
      </w:r>
      <w:proofErr w:type="spellEnd"/>
    </w:p>
    <w:p w:rsidR="00320144" w:rsidRPr="00320144" w:rsidRDefault="00320144" w:rsidP="00320144">
      <w:pPr>
        <w:spacing w:line="276" w:lineRule="auto"/>
        <w:ind w:firstLine="708"/>
        <w:jc w:val="both"/>
        <w:rPr>
          <w:szCs w:val="28"/>
        </w:rPr>
      </w:pPr>
      <w:r w:rsidRPr="00320144">
        <w:rPr>
          <w:szCs w:val="28"/>
        </w:rPr>
        <w:t>В соответствии с заявкой:</w:t>
      </w:r>
    </w:p>
    <w:p w:rsidR="00320144" w:rsidRPr="00320144" w:rsidRDefault="00320144" w:rsidP="00320144">
      <w:pPr>
        <w:numPr>
          <w:ilvl w:val="0"/>
          <w:numId w:val="6"/>
        </w:numPr>
        <w:spacing w:line="276" w:lineRule="auto"/>
        <w:jc w:val="both"/>
        <w:rPr>
          <w:szCs w:val="28"/>
        </w:rPr>
      </w:pPr>
      <w:r w:rsidRPr="00320144">
        <w:rPr>
          <w:szCs w:val="28"/>
        </w:rPr>
        <w:t>Местонахождение (адрес) энергопринимающих устройств – Кемеровская обл., г. Белово.</w:t>
      </w:r>
    </w:p>
    <w:p w:rsidR="00320144" w:rsidRPr="00320144" w:rsidRDefault="00320144" w:rsidP="00320144">
      <w:pPr>
        <w:numPr>
          <w:ilvl w:val="0"/>
          <w:numId w:val="6"/>
        </w:numPr>
        <w:spacing w:line="276" w:lineRule="auto"/>
        <w:jc w:val="both"/>
        <w:rPr>
          <w:szCs w:val="28"/>
        </w:rPr>
      </w:pPr>
      <w:r w:rsidRPr="00320144">
        <w:rPr>
          <w:szCs w:val="28"/>
        </w:rPr>
        <w:t>Максимальная мощность – 2 211,8 кВт. Ранее присоединенная максимальная мощность – 888,2 кВт. Общая (присоединяемая и ранее присоединенная) максимальная мощность – 3 100 кВт.</w:t>
      </w:r>
    </w:p>
    <w:p w:rsidR="00320144" w:rsidRPr="00320144" w:rsidRDefault="00320144" w:rsidP="00320144">
      <w:pPr>
        <w:numPr>
          <w:ilvl w:val="0"/>
          <w:numId w:val="6"/>
        </w:numPr>
        <w:spacing w:line="276" w:lineRule="auto"/>
        <w:jc w:val="both"/>
        <w:rPr>
          <w:szCs w:val="28"/>
        </w:rPr>
      </w:pPr>
      <w:r w:rsidRPr="00320144">
        <w:rPr>
          <w:szCs w:val="28"/>
        </w:rPr>
        <w:t xml:space="preserve">Уровень напряжения – 10 </w:t>
      </w:r>
      <w:proofErr w:type="spellStart"/>
      <w:r w:rsidRPr="00320144">
        <w:rPr>
          <w:szCs w:val="28"/>
        </w:rPr>
        <w:t>кВ.</w:t>
      </w:r>
      <w:proofErr w:type="spellEnd"/>
    </w:p>
    <w:p w:rsidR="00320144" w:rsidRPr="00320144" w:rsidRDefault="00320144" w:rsidP="00320144">
      <w:pPr>
        <w:numPr>
          <w:ilvl w:val="0"/>
          <w:numId w:val="6"/>
        </w:numPr>
        <w:spacing w:line="276" w:lineRule="auto"/>
        <w:jc w:val="both"/>
        <w:rPr>
          <w:szCs w:val="28"/>
        </w:rPr>
      </w:pPr>
      <w:r w:rsidRPr="00320144">
        <w:rPr>
          <w:szCs w:val="28"/>
        </w:rPr>
        <w:t>Категория надежности электроснабжения – 3.</w:t>
      </w:r>
    </w:p>
    <w:p w:rsidR="00320144" w:rsidRPr="00320144" w:rsidRDefault="00320144" w:rsidP="00320144">
      <w:pPr>
        <w:numPr>
          <w:ilvl w:val="0"/>
          <w:numId w:val="6"/>
        </w:numPr>
        <w:spacing w:line="276" w:lineRule="auto"/>
        <w:jc w:val="both"/>
        <w:rPr>
          <w:szCs w:val="28"/>
        </w:rPr>
      </w:pPr>
      <w:r w:rsidRPr="00320144">
        <w:rPr>
          <w:szCs w:val="28"/>
        </w:rPr>
        <w:t>Планируемый срок ввода энергопринимающих устройств в эксплуатацию – декабрь 2017 год.</w:t>
      </w:r>
    </w:p>
    <w:p w:rsidR="00320144" w:rsidRPr="00320144" w:rsidRDefault="00320144" w:rsidP="00320144">
      <w:pPr>
        <w:spacing w:line="276" w:lineRule="auto"/>
        <w:jc w:val="center"/>
        <w:rPr>
          <w:b/>
          <w:szCs w:val="28"/>
        </w:rPr>
      </w:pPr>
    </w:p>
    <w:p w:rsidR="00320144" w:rsidRPr="00320144" w:rsidRDefault="00320144" w:rsidP="00320144">
      <w:pPr>
        <w:spacing w:line="276" w:lineRule="auto"/>
        <w:jc w:val="center"/>
        <w:rPr>
          <w:b/>
          <w:szCs w:val="28"/>
        </w:rPr>
      </w:pPr>
      <w:r w:rsidRPr="00320144">
        <w:rPr>
          <w:b/>
          <w:szCs w:val="28"/>
        </w:rPr>
        <w:t>Обоснование возможности (отсутствия возможности) установления платы за технологическое присоединение по индивидуальному проекту</w:t>
      </w:r>
    </w:p>
    <w:p w:rsidR="00320144" w:rsidRPr="00320144" w:rsidRDefault="00320144" w:rsidP="00320144">
      <w:pPr>
        <w:spacing w:line="276" w:lineRule="auto"/>
        <w:jc w:val="center"/>
        <w:rPr>
          <w:b/>
          <w:szCs w:val="28"/>
        </w:rPr>
      </w:pPr>
    </w:p>
    <w:p w:rsidR="00320144" w:rsidRPr="00320144" w:rsidRDefault="00320144" w:rsidP="00320144">
      <w:pPr>
        <w:spacing w:line="276" w:lineRule="auto"/>
        <w:ind w:firstLine="709"/>
        <w:jc w:val="both"/>
        <w:rPr>
          <w:szCs w:val="28"/>
        </w:rPr>
      </w:pPr>
      <w:r w:rsidRPr="00320144">
        <w:rPr>
          <w:szCs w:val="28"/>
        </w:rPr>
        <w:t>В соответствии с п.28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320144" w:rsidRPr="00320144" w:rsidRDefault="00320144" w:rsidP="00320144">
      <w:pPr>
        <w:spacing w:line="276" w:lineRule="auto"/>
        <w:ind w:firstLine="709"/>
        <w:jc w:val="both"/>
        <w:rPr>
          <w:szCs w:val="28"/>
        </w:rPr>
      </w:pPr>
      <w:r w:rsidRPr="00320144">
        <w:rPr>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320144" w:rsidRPr="00320144" w:rsidRDefault="00320144" w:rsidP="00320144">
      <w:pPr>
        <w:spacing w:line="276" w:lineRule="auto"/>
        <w:ind w:firstLine="709"/>
        <w:jc w:val="both"/>
        <w:rPr>
          <w:szCs w:val="28"/>
        </w:rPr>
      </w:pPr>
      <w:r w:rsidRPr="00320144">
        <w:rPr>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320144" w:rsidRPr="00320144" w:rsidRDefault="00320144" w:rsidP="00320144">
      <w:pPr>
        <w:spacing w:line="276" w:lineRule="auto"/>
        <w:ind w:firstLine="709"/>
        <w:jc w:val="both"/>
        <w:rPr>
          <w:szCs w:val="28"/>
        </w:rPr>
      </w:pPr>
      <w:r w:rsidRPr="00320144">
        <w:rPr>
          <w:szCs w:val="28"/>
        </w:rPr>
        <w:lastRenderedPageBreak/>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320144" w:rsidRPr="00320144" w:rsidRDefault="00320144" w:rsidP="00320144">
      <w:pPr>
        <w:spacing w:line="276" w:lineRule="auto"/>
        <w:ind w:firstLine="709"/>
        <w:jc w:val="both"/>
        <w:rPr>
          <w:szCs w:val="28"/>
        </w:rPr>
      </w:pPr>
      <w:r w:rsidRPr="00320144">
        <w:rPr>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rsidR="00320144" w:rsidRPr="00320144" w:rsidRDefault="00320144" w:rsidP="00320144">
      <w:pPr>
        <w:spacing w:line="276" w:lineRule="auto"/>
        <w:ind w:firstLine="709"/>
        <w:jc w:val="both"/>
        <w:rPr>
          <w:szCs w:val="28"/>
        </w:rPr>
      </w:pPr>
      <w:r w:rsidRPr="00320144">
        <w:rPr>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rsidR="00320144" w:rsidRPr="00320144" w:rsidRDefault="00320144" w:rsidP="00320144">
      <w:pPr>
        <w:spacing w:line="276" w:lineRule="auto"/>
        <w:ind w:firstLine="709"/>
        <w:jc w:val="both"/>
        <w:rPr>
          <w:szCs w:val="28"/>
        </w:rPr>
      </w:pPr>
      <w:r w:rsidRPr="00320144">
        <w:rPr>
          <w:szCs w:val="28"/>
        </w:rPr>
        <w:t xml:space="preserve">Согласно представленным материалам, при увеличении мощности потребителей ТПС 35/10 </w:t>
      </w:r>
      <w:proofErr w:type="spellStart"/>
      <w:r w:rsidRPr="00320144">
        <w:rPr>
          <w:szCs w:val="28"/>
        </w:rPr>
        <w:t>кВ</w:t>
      </w:r>
      <w:proofErr w:type="spellEnd"/>
      <w:r w:rsidRPr="00320144">
        <w:rPr>
          <w:szCs w:val="28"/>
        </w:rPr>
        <w:t xml:space="preserve"> «Белово» на 2 211,8 кВт, максимальная мощность по отходящим присоединениям превысит максимальную мощность по вводным присоединениям.</w:t>
      </w:r>
    </w:p>
    <w:p w:rsidR="00320144" w:rsidRPr="00320144" w:rsidRDefault="00320144" w:rsidP="00320144">
      <w:pPr>
        <w:spacing w:line="276" w:lineRule="auto"/>
        <w:ind w:firstLine="709"/>
        <w:jc w:val="both"/>
        <w:rPr>
          <w:szCs w:val="28"/>
        </w:rPr>
      </w:pPr>
      <w:r w:rsidRPr="00320144">
        <w:rPr>
          <w:szCs w:val="28"/>
        </w:rPr>
        <w:t>Учитывая вышеизложенное, в соответствии с п.28б) и п.32 Правил отсутствует техническая возможность на присоединение энергопринимающих устройств мощностью 2 211,8 кВт к электрическим сетям ОАО «РЖД».</w:t>
      </w:r>
    </w:p>
    <w:p w:rsidR="00320144" w:rsidRPr="00320144" w:rsidRDefault="00320144" w:rsidP="00320144">
      <w:pPr>
        <w:spacing w:line="276" w:lineRule="auto"/>
        <w:ind w:firstLine="709"/>
        <w:jc w:val="both"/>
        <w:rPr>
          <w:szCs w:val="28"/>
        </w:rPr>
      </w:pPr>
      <w:r w:rsidRPr="00320144">
        <w:rPr>
          <w:szCs w:val="28"/>
        </w:rPr>
        <w:t>Таким образом, исходя из документов, представленных ОАО «РЖД», можно сделать вывод о возможности установления платы за технологическое присоединение по индивидуальному проекту.</w:t>
      </w:r>
    </w:p>
    <w:p w:rsidR="00320144" w:rsidRPr="00320144" w:rsidRDefault="00320144" w:rsidP="00320144">
      <w:pPr>
        <w:spacing w:line="276" w:lineRule="auto"/>
        <w:ind w:firstLine="709"/>
        <w:jc w:val="both"/>
        <w:rPr>
          <w:szCs w:val="28"/>
        </w:rPr>
      </w:pPr>
      <w:r w:rsidRPr="00320144">
        <w:rPr>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rsidR="00320144" w:rsidRPr="00320144" w:rsidRDefault="00320144" w:rsidP="00320144">
      <w:pPr>
        <w:spacing w:line="276" w:lineRule="auto"/>
        <w:ind w:firstLine="709"/>
        <w:jc w:val="both"/>
        <w:rPr>
          <w:szCs w:val="28"/>
        </w:rPr>
      </w:pPr>
      <w:r w:rsidRPr="00320144">
        <w:rPr>
          <w:szCs w:val="28"/>
        </w:rPr>
        <w:t>ПТП = Р + РИ + РТП</w:t>
      </w:r>
    </w:p>
    <w:p w:rsidR="00320144" w:rsidRPr="00320144" w:rsidRDefault="00320144" w:rsidP="00320144">
      <w:pPr>
        <w:spacing w:line="276" w:lineRule="auto"/>
        <w:ind w:firstLine="709"/>
        <w:jc w:val="both"/>
        <w:rPr>
          <w:szCs w:val="28"/>
        </w:rPr>
      </w:pPr>
      <w:r w:rsidRPr="00320144">
        <w:rPr>
          <w:szCs w:val="28"/>
        </w:rPr>
        <w:t>где:</w:t>
      </w:r>
    </w:p>
    <w:p w:rsidR="00320144" w:rsidRPr="00320144" w:rsidRDefault="00320144" w:rsidP="00320144">
      <w:pPr>
        <w:spacing w:line="276" w:lineRule="auto"/>
        <w:ind w:firstLine="709"/>
        <w:jc w:val="both"/>
        <w:rPr>
          <w:szCs w:val="28"/>
        </w:rPr>
      </w:pPr>
      <w:r w:rsidRPr="00320144">
        <w:rPr>
          <w:szCs w:val="28"/>
        </w:rPr>
        <w:t>Р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320144" w:rsidRPr="00320144" w:rsidRDefault="00320144" w:rsidP="00320144">
      <w:pPr>
        <w:spacing w:line="276" w:lineRule="auto"/>
        <w:ind w:firstLine="709"/>
        <w:jc w:val="both"/>
        <w:rPr>
          <w:szCs w:val="28"/>
        </w:rPr>
      </w:pPr>
      <w:proofErr w:type="spellStart"/>
      <w:r w:rsidRPr="00320144">
        <w:rPr>
          <w:szCs w:val="28"/>
        </w:rPr>
        <w:t>Ри</w:t>
      </w:r>
      <w:proofErr w:type="spellEnd"/>
      <w:r w:rsidRPr="00320144">
        <w:rPr>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rsidR="00320144" w:rsidRPr="00320144" w:rsidRDefault="00320144" w:rsidP="00320144">
      <w:pPr>
        <w:spacing w:line="276" w:lineRule="auto"/>
        <w:ind w:firstLine="709"/>
        <w:jc w:val="both"/>
        <w:rPr>
          <w:szCs w:val="28"/>
        </w:rPr>
      </w:pPr>
      <w:proofErr w:type="spellStart"/>
      <w:r w:rsidRPr="00320144">
        <w:rPr>
          <w:szCs w:val="28"/>
        </w:rPr>
        <w:t>Ртп</w:t>
      </w:r>
      <w:proofErr w:type="spellEnd"/>
      <w:r w:rsidRPr="00320144">
        <w:rPr>
          <w:szCs w:val="28"/>
        </w:rPr>
        <w:t xml:space="preserve"> - расходы на оплату услуг технологического присоединения к электрическим сетям смежной сетевой организации.</w:t>
      </w:r>
    </w:p>
    <w:p w:rsidR="00320144" w:rsidRPr="00320144" w:rsidRDefault="00320144" w:rsidP="00320144">
      <w:pPr>
        <w:spacing w:line="276" w:lineRule="auto"/>
        <w:ind w:firstLine="709"/>
        <w:jc w:val="both"/>
        <w:rPr>
          <w:szCs w:val="28"/>
        </w:rPr>
      </w:pPr>
    </w:p>
    <w:p w:rsidR="00320144" w:rsidRPr="00320144" w:rsidRDefault="00320144" w:rsidP="00320144">
      <w:pPr>
        <w:spacing w:line="276" w:lineRule="auto"/>
        <w:ind w:firstLine="709"/>
        <w:jc w:val="both"/>
        <w:rPr>
          <w:szCs w:val="28"/>
        </w:rPr>
      </w:pPr>
    </w:p>
    <w:p w:rsidR="00320144" w:rsidRPr="00320144" w:rsidRDefault="00320144" w:rsidP="00320144">
      <w:pPr>
        <w:spacing w:line="276" w:lineRule="auto"/>
        <w:ind w:firstLine="709"/>
        <w:jc w:val="both"/>
        <w:rPr>
          <w:szCs w:val="28"/>
        </w:rPr>
      </w:pPr>
    </w:p>
    <w:p w:rsidR="00320144" w:rsidRPr="00320144" w:rsidRDefault="00320144" w:rsidP="00320144">
      <w:pPr>
        <w:spacing w:line="276" w:lineRule="auto"/>
        <w:jc w:val="center"/>
        <w:rPr>
          <w:b/>
          <w:szCs w:val="28"/>
        </w:rPr>
      </w:pPr>
      <w:r w:rsidRPr="00320144">
        <w:rPr>
          <w:b/>
          <w:szCs w:val="28"/>
        </w:rPr>
        <w:t>Анализ технических условий на технологическое присоединение</w:t>
      </w:r>
    </w:p>
    <w:p w:rsidR="00320144" w:rsidRPr="00320144" w:rsidRDefault="00320144" w:rsidP="00320144">
      <w:pPr>
        <w:spacing w:line="276" w:lineRule="auto"/>
        <w:jc w:val="center"/>
        <w:rPr>
          <w:b/>
          <w:szCs w:val="28"/>
        </w:rPr>
      </w:pPr>
    </w:p>
    <w:p w:rsidR="00320144" w:rsidRPr="00320144" w:rsidRDefault="00320144" w:rsidP="00320144">
      <w:pPr>
        <w:spacing w:line="276" w:lineRule="auto"/>
        <w:ind w:firstLine="708"/>
        <w:jc w:val="both"/>
        <w:rPr>
          <w:szCs w:val="28"/>
        </w:rPr>
      </w:pPr>
      <w:r w:rsidRPr="00320144">
        <w:rPr>
          <w:szCs w:val="28"/>
        </w:rPr>
        <w:t>Для осуществления технологического присоединения энергопринимающих устройств ООО «</w:t>
      </w:r>
      <w:proofErr w:type="spellStart"/>
      <w:r w:rsidRPr="00320144">
        <w:rPr>
          <w:szCs w:val="28"/>
        </w:rPr>
        <w:t>КЭнК</w:t>
      </w:r>
      <w:proofErr w:type="spellEnd"/>
      <w:r w:rsidRPr="00320144">
        <w:rPr>
          <w:szCs w:val="28"/>
        </w:rPr>
        <w:t>» ОАО «РЖД» разработало технические условия.</w:t>
      </w:r>
    </w:p>
    <w:p w:rsidR="00320144" w:rsidRPr="00320144" w:rsidRDefault="00320144" w:rsidP="00320144">
      <w:pPr>
        <w:spacing w:line="276" w:lineRule="auto"/>
        <w:ind w:firstLine="708"/>
        <w:jc w:val="both"/>
        <w:rPr>
          <w:szCs w:val="28"/>
        </w:rPr>
      </w:pPr>
      <w:r w:rsidRPr="00320144">
        <w:rPr>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w:t>
      </w:r>
      <w:r w:rsidRPr="00320144">
        <w:rPr>
          <w:szCs w:val="28"/>
        </w:rPr>
        <w:lastRenderedPageBreak/>
        <w:t>согласованию с системным оператором. В связи с тем, что максимальная мощность увеличивается на 2 211,8 кВт, согласования не требуется.</w:t>
      </w:r>
    </w:p>
    <w:p w:rsidR="00320144" w:rsidRPr="00320144" w:rsidRDefault="00320144" w:rsidP="00320144">
      <w:pPr>
        <w:spacing w:line="276" w:lineRule="auto"/>
        <w:ind w:firstLine="709"/>
        <w:jc w:val="both"/>
        <w:rPr>
          <w:szCs w:val="28"/>
        </w:rPr>
      </w:pPr>
      <w:r w:rsidRPr="00320144">
        <w:rPr>
          <w:szCs w:val="28"/>
        </w:rPr>
        <w:t>Согласно техническим условиям ОАО «РЖД» требуется выполнить урегулирование отношений с вышестоящей сетевой организацией в части увеличения максимальной мощности.</w:t>
      </w:r>
    </w:p>
    <w:p w:rsidR="00320144" w:rsidRPr="00320144" w:rsidRDefault="00320144" w:rsidP="00320144">
      <w:pPr>
        <w:spacing w:line="276" w:lineRule="auto"/>
        <w:ind w:left="1069"/>
        <w:jc w:val="both"/>
        <w:rPr>
          <w:szCs w:val="28"/>
        </w:rPr>
      </w:pPr>
    </w:p>
    <w:p w:rsidR="00320144" w:rsidRPr="00320144" w:rsidRDefault="00320144" w:rsidP="00320144">
      <w:pPr>
        <w:spacing w:line="276" w:lineRule="auto"/>
        <w:ind w:firstLine="709"/>
        <w:jc w:val="both"/>
        <w:rPr>
          <w:szCs w:val="28"/>
        </w:rPr>
      </w:pPr>
      <w:r w:rsidRPr="00320144">
        <w:rPr>
          <w:szCs w:val="28"/>
        </w:rPr>
        <w:t xml:space="preserve">В целях присоединения заявителя ОАО «РЖД» подало заявку в вышестоящую электросетевую организацию ПАО «МРСК Сибири» на технологическое присоединение энергопринимающих устройств (ТПС 35/10 </w:t>
      </w:r>
      <w:proofErr w:type="spellStart"/>
      <w:r w:rsidRPr="00320144">
        <w:rPr>
          <w:szCs w:val="28"/>
        </w:rPr>
        <w:t>кВ</w:t>
      </w:r>
      <w:proofErr w:type="spellEnd"/>
      <w:r w:rsidRPr="00320144">
        <w:rPr>
          <w:szCs w:val="28"/>
        </w:rPr>
        <w:t xml:space="preserve"> «Белово»).</w:t>
      </w:r>
    </w:p>
    <w:p w:rsidR="00320144" w:rsidRPr="00320144" w:rsidRDefault="00320144" w:rsidP="00320144">
      <w:pPr>
        <w:spacing w:line="276" w:lineRule="auto"/>
        <w:ind w:firstLine="709"/>
        <w:jc w:val="both"/>
        <w:rPr>
          <w:szCs w:val="28"/>
        </w:rPr>
      </w:pPr>
      <w:r w:rsidRPr="00320144">
        <w:rPr>
          <w:szCs w:val="28"/>
        </w:rPr>
        <w:t>В соответствии с заявкой:</w:t>
      </w:r>
    </w:p>
    <w:p w:rsidR="00320144" w:rsidRPr="00320144" w:rsidRDefault="00320144" w:rsidP="00320144">
      <w:pPr>
        <w:numPr>
          <w:ilvl w:val="0"/>
          <w:numId w:val="19"/>
        </w:numPr>
        <w:spacing w:line="276" w:lineRule="auto"/>
        <w:jc w:val="both"/>
        <w:rPr>
          <w:szCs w:val="28"/>
        </w:rPr>
      </w:pPr>
      <w:r w:rsidRPr="00320144">
        <w:rPr>
          <w:szCs w:val="28"/>
        </w:rPr>
        <w:t>Местонахождение (адрес) энергопринимающих устройств – Кемеровская обл., г. Белово.</w:t>
      </w:r>
    </w:p>
    <w:p w:rsidR="00320144" w:rsidRPr="00320144" w:rsidRDefault="00320144" w:rsidP="00320144">
      <w:pPr>
        <w:numPr>
          <w:ilvl w:val="0"/>
          <w:numId w:val="19"/>
        </w:numPr>
        <w:spacing w:line="276" w:lineRule="auto"/>
        <w:jc w:val="both"/>
        <w:rPr>
          <w:szCs w:val="28"/>
        </w:rPr>
      </w:pPr>
      <w:r w:rsidRPr="00320144">
        <w:rPr>
          <w:szCs w:val="28"/>
        </w:rPr>
        <w:t>Максимальная мощность – 2 211,8 кВт. Ранее присоединенная максимальная мощность – 12 854,0 кВт. Общая (присоединяемая и ранее присоединенная) максимальная мощность – 15 065,8 кВт.</w:t>
      </w:r>
    </w:p>
    <w:p w:rsidR="00320144" w:rsidRPr="00320144" w:rsidRDefault="00320144" w:rsidP="00320144">
      <w:pPr>
        <w:numPr>
          <w:ilvl w:val="0"/>
          <w:numId w:val="19"/>
        </w:numPr>
        <w:spacing w:line="276" w:lineRule="auto"/>
        <w:jc w:val="both"/>
        <w:rPr>
          <w:szCs w:val="28"/>
        </w:rPr>
      </w:pPr>
      <w:r w:rsidRPr="00320144">
        <w:rPr>
          <w:szCs w:val="28"/>
        </w:rPr>
        <w:t xml:space="preserve">Уровень напряжения – 35 </w:t>
      </w:r>
      <w:proofErr w:type="spellStart"/>
      <w:r w:rsidRPr="00320144">
        <w:rPr>
          <w:szCs w:val="28"/>
        </w:rPr>
        <w:t>кВ.</w:t>
      </w:r>
      <w:proofErr w:type="spellEnd"/>
    </w:p>
    <w:p w:rsidR="00320144" w:rsidRPr="00320144" w:rsidRDefault="00320144" w:rsidP="00320144">
      <w:pPr>
        <w:numPr>
          <w:ilvl w:val="0"/>
          <w:numId w:val="19"/>
        </w:numPr>
        <w:spacing w:line="276" w:lineRule="auto"/>
        <w:jc w:val="both"/>
        <w:rPr>
          <w:szCs w:val="28"/>
        </w:rPr>
      </w:pPr>
      <w:r w:rsidRPr="00320144">
        <w:rPr>
          <w:szCs w:val="28"/>
        </w:rPr>
        <w:t>Категория надежности электроснабжения – 2.</w:t>
      </w:r>
    </w:p>
    <w:p w:rsidR="00320144" w:rsidRPr="00320144" w:rsidRDefault="00320144" w:rsidP="00320144">
      <w:pPr>
        <w:numPr>
          <w:ilvl w:val="0"/>
          <w:numId w:val="19"/>
        </w:numPr>
        <w:spacing w:line="276" w:lineRule="auto"/>
        <w:jc w:val="both"/>
        <w:rPr>
          <w:szCs w:val="28"/>
        </w:rPr>
      </w:pPr>
      <w:r w:rsidRPr="00320144">
        <w:rPr>
          <w:szCs w:val="28"/>
        </w:rPr>
        <w:t>Планируемый срок ввода энергопринимающих устройств в эксплуатацию – декабрь 2017 года</w:t>
      </w:r>
    </w:p>
    <w:p w:rsidR="00320144" w:rsidRPr="00320144" w:rsidRDefault="00320144" w:rsidP="00320144">
      <w:pPr>
        <w:spacing w:line="276" w:lineRule="auto"/>
        <w:ind w:left="1069"/>
        <w:jc w:val="both"/>
        <w:rPr>
          <w:szCs w:val="28"/>
        </w:rPr>
      </w:pPr>
    </w:p>
    <w:p w:rsidR="00320144" w:rsidRPr="00320144" w:rsidRDefault="00320144" w:rsidP="00320144">
      <w:pPr>
        <w:spacing w:line="276" w:lineRule="auto"/>
        <w:ind w:firstLine="709"/>
        <w:jc w:val="both"/>
        <w:rPr>
          <w:szCs w:val="28"/>
        </w:rPr>
      </w:pPr>
      <w:r w:rsidRPr="00320144">
        <w:rPr>
          <w:szCs w:val="28"/>
        </w:rPr>
        <w:t>Согласно техническим условиям (приложение к заключенному между сторонами договору №20.4200.32.18) для присоединения энергопринимающих устройств ОАО «РЖД» филиалу ПАО «МРСК Сибири» – «Кузбассэнерго – РЭС» требуется выполнить:</w:t>
      </w:r>
    </w:p>
    <w:p w:rsidR="00320144" w:rsidRPr="00320144" w:rsidRDefault="00320144" w:rsidP="00320144">
      <w:pPr>
        <w:numPr>
          <w:ilvl w:val="0"/>
          <w:numId w:val="20"/>
        </w:numPr>
        <w:spacing w:after="200" w:line="276" w:lineRule="auto"/>
        <w:jc w:val="both"/>
        <w:rPr>
          <w:szCs w:val="28"/>
        </w:rPr>
      </w:pPr>
      <w:r w:rsidRPr="00320144">
        <w:rPr>
          <w:szCs w:val="28"/>
        </w:rPr>
        <w:t xml:space="preserve">Реконструкция ПС 110 </w:t>
      </w:r>
      <w:proofErr w:type="spellStart"/>
      <w:r w:rsidRPr="00320144">
        <w:rPr>
          <w:szCs w:val="28"/>
        </w:rPr>
        <w:t>кВ</w:t>
      </w:r>
      <w:proofErr w:type="spellEnd"/>
      <w:r w:rsidRPr="00320144">
        <w:rPr>
          <w:szCs w:val="28"/>
        </w:rPr>
        <w:t xml:space="preserve"> «</w:t>
      </w:r>
      <w:proofErr w:type="spellStart"/>
      <w:r w:rsidRPr="00320144">
        <w:rPr>
          <w:szCs w:val="28"/>
        </w:rPr>
        <w:t>Беловская</w:t>
      </w:r>
      <w:proofErr w:type="spellEnd"/>
      <w:r w:rsidRPr="00320144">
        <w:rPr>
          <w:szCs w:val="28"/>
        </w:rPr>
        <w:t>» с заменой трансформаторов 3×40 МВА на 2×80 МВА.</w:t>
      </w:r>
    </w:p>
    <w:p w:rsidR="00320144" w:rsidRPr="00320144" w:rsidRDefault="00320144" w:rsidP="00320144">
      <w:pPr>
        <w:spacing w:line="276" w:lineRule="auto"/>
        <w:ind w:firstLine="709"/>
        <w:jc w:val="both"/>
        <w:rPr>
          <w:szCs w:val="28"/>
        </w:rPr>
      </w:pPr>
      <w:r w:rsidRPr="00320144">
        <w:rPr>
          <w:szCs w:val="28"/>
        </w:rPr>
        <w:t>Указанное мероприятие включено в Инвестиционную программу ПАО «МРСК Сибири» по развитию электросетевого комплекса на 2016-2020 гг., утвержденную приказом Минэнерго России от 28.12.2015 №1043 (с учетом изменений, внесенных приказом Минэнерго России от 30.12.2016 №1471).</w:t>
      </w:r>
    </w:p>
    <w:p w:rsidR="00320144" w:rsidRPr="00320144" w:rsidRDefault="00320144" w:rsidP="00320144">
      <w:pPr>
        <w:spacing w:line="276" w:lineRule="auto"/>
        <w:ind w:firstLine="709"/>
        <w:jc w:val="both"/>
        <w:rPr>
          <w:szCs w:val="28"/>
        </w:rPr>
      </w:pPr>
      <w:r w:rsidRPr="00320144">
        <w:rPr>
          <w:szCs w:val="28"/>
        </w:rPr>
        <w:t>В соответствии с п.29 Правил 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пункте 13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w:t>
      </w:r>
    </w:p>
    <w:p w:rsidR="00320144" w:rsidRPr="00320144" w:rsidRDefault="00320144" w:rsidP="00320144">
      <w:pPr>
        <w:spacing w:line="276" w:lineRule="auto"/>
        <w:ind w:firstLine="709"/>
        <w:jc w:val="both"/>
        <w:rPr>
          <w:szCs w:val="28"/>
        </w:rPr>
      </w:pPr>
      <w:r w:rsidRPr="00320144">
        <w:rPr>
          <w:szCs w:val="28"/>
        </w:rPr>
        <w:t>Размер платы за технологическое присоединение определен в соответствии с постановлением региональной энергетической комиссии Кемеровской области от 31.12.2017 №776 и составляет 11,113 тыс. руб.</w:t>
      </w:r>
    </w:p>
    <w:p w:rsidR="00320144" w:rsidRDefault="00320144" w:rsidP="00320144">
      <w:pPr>
        <w:spacing w:line="276" w:lineRule="auto"/>
        <w:ind w:firstLine="709"/>
        <w:jc w:val="both"/>
        <w:rPr>
          <w:szCs w:val="28"/>
        </w:rPr>
      </w:pPr>
    </w:p>
    <w:p w:rsidR="00320144" w:rsidRDefault="00320144" w:rsidP="00320144">
      <w:pPr>
        <w:spacing w:line="276" w:lineRule="auto"/>
        <w:ind w:firstLine="709"/>
        <w:jc w:val="both"/>
        <w:rPr>
          <w:szCs w:val="28"/>
        </w:rPr>
      </w:pPr>
    </w:p>
    <w:p w:rsidR="00320144" w:rsidRDefault="00320144" w:rsidP="00320144">
      <w:pPr>
        <w:spacing w:line="276" w:lineRule="auto"/>
        <w:ind w:firstLine="709"/>
        <w:jc w:val="both"/>
        <w:rPr>
          <w:szCs w:val="28"/>
        </w:rPr>
      </w:pPr>
    </w:p>
    <w:p w:rsidR="00320144" w:rsidRPr="00320144" w:rsidRDefault="00320144" w:rsidP="00320144">
      <w:pPr>
        <w:spacing w:line="276" w:lineRule="auto"/>
        <w:ind w:firstLine="709"/>
        <w:jc w:val="both"/>
        <w:rPr>
          <w:szCs w:val="28"/>
        </w:rPr>
      </w:pPr>
    </w:p>
    <w:p w:rsidR="00320144" w:rsidRPr="00320144" w:rsidRDefault="00320144" w:rsidP="00320144">
      <w:pPr>
        <w:spacing w:line="276" w:lineRule="auto"/>
        <w:jc w:val="center"/>
        <w:rPr>
          <w:b/>
          <w:szCs w:val="28"/>
        </w:rPr>
      </w:pPr>
      <w:r w:rsidRPr="00320144">
        <w:rPr>
          <w:b/>
          <w:szCs w:val="28"/>
        </w:rPr>
        <w:lastRenderedPageBreak/>
        <w:t>Анализ величины максимальной мощности</w:t>
      </w:r>
    </w:p>
    <w:p w:rsidR="00320144" w:rsidRPr="00320144" w:rsidRDefault="00320144" w:rsidP="00320144">
      <w:pPr>
        <w:spacing w:line="276" w:lineRule="auto"/>
        <w:jc w:val="center"/>
        <w:rPr>
          <w:b/>
          <w:szCs w:val="28"/>
        </w:rPr>
      </w:pPr>
    </w:p>
    <w:p w:rsidR="00320144" w:rsidRPr="00320144" w:rsidRDefault="00320144" w:rsidP="00320144">
      <w:pPr>
        <w:spacing w:line="276" w:lineRule="auto"/>
        <w:ind w:firstLine="709"/>
        <w:jc w:val="both"/>
        <w:rPr>
          <w:szCs w:val="28"/>
        </w:rPr>
      </w:pPr>
      <w:r w:rsidRPr="00320144">
        <w:rPr>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w:t>
      </w:r>
      <w:proofErr w:type="spellStart"/>
      <w:r w:rsidRPr="00320144">
        <w:rPr>
          <w:szCs w:val="28"/>
        </w:rPr>
        <w:t>КЭнК</w:t>
      </w:r>
      <w:proofErr w:type="spellEnd"/>
      <w:r w:rsidRPr="00320144">
        <w:rPr>
          <w:szCs w:val="28"/>
        </w:rPr>
        <w:t>».</w:t>
      </w:r>
    </w:p>
    <w:p w:rsidR="00320144" w:rsidRPr="00320144" w:rsidRDefault="00320144" w:rsidP="00320144">
      <w:pPr>
        <w:spacing w:line="276" w:lineRule="auto"/>
        <w:ind w:firstLine="709"/>
        <w:jc w:val="both"/>
        <w:rPr>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320144" w:rsidRPr="00320144" w:rsidTr="00335630">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320144" w:rsidRPr="00320144" w:rsidRDefault="00320144" w:rsidP="00320144">
            <w:pPr>
              <w:spacing w:line="276" w:lineRule="auto"/>
              <w:jc w:val="center"/>
              <w:rPr>
                <w:szCs w:val="28"/>
              </w:rPr>
            </w:pPr>
            <w:r w:rsidRPr="00320144">
              <w:rPr>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320144" w:rsidRPr="00320144" w:rsidRDefault="00320144" w:rsidP="00320144">
            <w:pPr>
              <w:spacing w:line="276" w:lineRule="auto"/>
              <w:jc w:val="center"/>
              <w:rPr>
                <w:szCs w:val="28"/>
              </w:rPr>
            </w:pPr>
            <w:r w:rsidRPr="00320144">
              <w:rPr>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320144" w:rsidRPr="00320144" w:rsidRDefault="00320144" w:rsidP="00320144">
            <w:pPr>
              <w:spacing w:line="276" w:lineRule="auto"/>
              <w:jc w:val="center"/>
              <w:rPr>
                <w:szCs w:val="28"/>
              </w:rPr>
            </w:pPr>
            <w:r w:rsidRPr="00320144">
              <w:rPr>
                <w:szCs w:val="28"/>
              </w:rPr>
              <w:t>Величина корректировки мощности, кВт</w:t>
            </w:r>
          </w:p>
        </w:tc>
      </w:tr>
      <w:tr w:rsidR="00320144" w:rsidRPr="00320144" w:rsidTr="00335630">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320144" w:rsidRPr="00320144" w:rsidRDefault="00320144" w:rsidP="00320144">
            <w:pPr>
              <w:spacing w:line="276" w:lineRule="auto"/>
              <w:jc w:val="center"/>
              <w:rPr>
                <w:szCs w:val="28"/>
              </w:rPr>
            </w:pPr>
            <w:r w:rsidRPr="00320144">
              <w:rPr>
                <w:szCs w:val="28"/>
              </w:rPr>
              <w:t>2 211,8</w:t>
            </w:r>
          </w:p>
        </w:tc>
        <w:tc>
          <w:tcPr>
            <w:tcW w:w="2882" w:type="dxa"/>
            <w:tcBorders>
              <w:top w:val="single" w:sz="8" w:space="0" w:color="auto"/>
              <w:left w:val="single" w:sz="4" w:space="0" w:color="auto"/>
              <w:bottom w:val="single" w:sz="4" w:space="0" w:color="auto"/>
              <w:right w:val="single" w:sz="4" w:space="0" w:color="auto"/>
            </w:tcBorders>
            <w:vAlign w:val="center"/>
            <w:hideMark/>
          </w:tcPr>
          <w:p w:rsidR="00320144" w:rsidRPr="00320144" w:rsidRDefault="00320144" w:rsidP="00320144">
            <w:pPr>
              <w:spacing w:line="276" w:lineRule="auto"/>
              <w:jc w:val="center"/>
              <w:rPr>
                <w:szCs w:val="28"/>
              </w:rPr>
            </w:pPr>
            <w:r w:rsidRPr="00320144">
              <w:rPr>
                <w:szCs w:val="28"/>
              </w:rPr>
              <w:t>2 211,8</w:t>
            </w:r>
          </w:p>
        </w:tc>
        <w:tc>
          <w:tcPr>
            <w:tcW w:w="3422" w:type="dxa"/>
            <w:tcBorders>
              <w:top w:val="single" w:sz="8" w:space="0" w:color="auto"/>
              <w:left w:val="single" w:sz="4" w:space="0" w:color="auto"/>
              <w:bottom w:val="single" w:sz="4" w:space="0" w:color="auto"/>
              <w:right w:val="single" w:sz="4" w:space="0" w:color="auto"/>
            </w:tcBorders>
            <w:vAlign w:val="center"/>
            <w:hideMark/>
          </w:tcPr>
          <w:p w:rsidR="00320144" w:rsidRPr="00320144" w:rsidRDefault="00320144" w:rsidP="00320144">
            <w:pPr>
              <w:spacing w:line="276" w:lineRule="auto"/>
              <w:jc w:val="center"/>
              <w:rPr>
                <w:szCs w:val="28"/>
              </w:rPr>
            </w:pPr>
            <w:r w:rsidRPr="00320144">
              <w:rPr>
                <w:szCs w:val="28"/>
              </w:rPr>
              <w:t>0,0</w:t>
            </w:r>
          </w:p>
        </w:tc>
      </w:tr>
    </w:tbl>
    <w:p w:rsidR="00320144" w:rsidRPr="00320144" w:rsidRDefault="00320144" w:rsidP="00320144">
      <w:pPr>
        <w:spacing w:line="276" w:lineRule="auto"/>
        <w:ind w:firstLine="720"/>
        <w:jc w:val="both"/>
        <w:rPr>
          <w:szCs w:val="28"/>
        </w:rPr>
      </w:pPr>
    </w:p>
    <w:p w:rsidR="00320144" w:rsidRPr="00320144" w:rsidRDefault="00320144" w:rsidP="00320144">
      <w:pPr>
        <w:spacing w:line="276" w:lineRule="auto"/>
        <w:ind w:firstLine="720"/>
        <w:jc w:val="both"/>
        <w:rPr>
          <w:szCs w:val="28"/>
        </w:rPr>
      </w:pPr>
    </w:p>
    <w:p w:rsidR="00320144" w:rsidRPr="00320144" w:rsidRDefault="00320144" w:rsidP="00320144">
      <w:pPr>
        <w:spacing w:line="276" w:lineRule="auto"/>
        <w:jc w:val="center"/>
        <w:rPr>
          <w:b/>
          <w:szCs w:val="28"/>
        </w:rPr>
      </w:pPr>
      <w:r w:rsidRPr="00320144">
        <w:rPr>
          <w:b/>
          <w:szCs w:val="28"/>
        </w:rPr>
        <w:t>Объем капитальных вложений, подлежащий включению в плату за технологическое присоединение</w:t>
      </w:r>
    </w:p>
    <w:p w:rsidR="00320144" w:rsidRPr="00320144" w:rsidRDefault="00320144" w:rsidP="00320144">
      <w:pPr>
        <w:spacing w:line="276" w:lineRule="auto"/>
        <w:jc w:val="center"/>
        <w:rPr>
          <w:b/>
          <w:szCs w:val="28"/>
        </w:rPr>
      </w:pPr>
    </w:p>
    <w:p w:rsidR="00320144" w:rsidRPr="00320144" w:rsidRDefault="00320144" w:rsidP="00320144">
      <w:pPr>
        <w:spacing w:line="276" w:lineRule="auto"/>
        <w:ind w:firstLine="720"/>
        <w:jc w:val="both"/>
        <w:rPr>
          <w:szCs w:val="28"/>
        </w:rPr>
      </w:pPr>
      <w:r w:rsidRPr="00320144">
        <w:rPr>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320144" w:rsidRPr="00320144" w:rsidRDefault="00320144" w:rsidP="00320144">
      <w:pPr>
        <w:spacing w:line="276" w:lineRule="auto"/>
        <w:ind w:firstLine="720"/>
        <w:jc w:val="both"/>
        <w:rPr>
          <w:szCs w:val="28"/>
        </w:rPr>
      </w:pPr>
      <w:r w:rsidRPr="00320144">
        <w:rPr>
          <w:szCs w:val="28"/>
        </w:rPr>
        <w:t>В соответствии с представленным расчетом необходимой валовой выручки объем капитальных вложений ОАО «РЖД» для осуществления технологического присоединения энергопринимающих устройств ООО «</w:t>
      </w:r>
      <w:proofErr w:type="spellStart"/>
      <w:r w:rsidRPr="00320144">
        <w:rPr>
          <w:szCs w:val="28"/>
        </w:rPr>
        <w:t>КЭнК</w:t>
      </w:r>
      <w:proofErr w:type="spellEnd"/>
      <w:r w:rsidRPr="00320144">
        <w:rPr>
          <w:szCs w:val="28"/>
        </w:rPr>
        <w:t>» равен нулю.</w:t>
      </w:r>
    </w:p>
    <w:p w:rsidR="00320144" w:rsidRPr="00320144" w:rsidRDefault="00320144" w:rsidP="00320144">
      <w:pPr>
        <w:spacing w:line="276" w:lineRule="auto"/>
        <w:ind w:firstLine="720"/>
        <w:jc w:val="both"/>
        <w:rPr>
          <w:szCs w:val="28"/>
        </w:rPr>
      </w:pPr>
      <w:r w:rsidRPr="00320144">
        <w:rPr>
          <w:szCs w:val="28"/>
        </w:rPr>
        <w:t>Согласно п.30.5 Правил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320144" w:rsidRPr="00320144" w:rsidRDefault="00320144" w:rsidP="00320144">
      <w:pPr>
        <w:spacing w:line="276" w:lineRule="auto"/>
        <w:ind w:firstLine="720"/>
        <w:jc w:val="both"/>
        <w:rPr>
          <w:szCs w:val="28"/>
        </w:rPr>
      </w:pPr>
      <w:r w:rsidRPr="00320144">
        <w:rPr>
          <w:szCs w:val="28"/>
        </w:rPr>
        <w:t>ОАО «РЖД» предлагает учесть при расчете платы 11,113 тыс. руб. – затраты на технологическое присоединение к вышестоящей сетевой организации, рассчитанные в соответствии с постановлением РЭК Кемеровской области от 31.12.2017 №776:</w:t>
      </w:r>
    </w:p>
    <w:p w:rsidR="00320144" w:rsidRPr="00320144" w:rsidRDefault="00320144" w:rsidP="00320144">
      <w:pPr>
        <w:spacing w:line="276" w:lineRule="auto"/>
        <w:ind w:firstLine="720"/>
        <w:jc w:val="both"/>
        <w:rPr>
          <w:szCs w:val="28"/>
        </w:rPr>
      </w:pPr>
      <w:r w:rsidRPr="00320144">
        <w:rPr>
          <w:szCs w:val="28"/>
        </w:rPr>
        <w:t>11,113 тыс. руб./шт. × 1 шт. = 11,113 тыс. руб.</w:t>
      </w:r>
    </w:p>
    <w:p w:rsidR="00320144" w:rsidRPr="00320144" w:rsidRDefault="00320144" w:rsidP="00320144">
      <w:pPr>
        <w:spacing w:line="276" w:lineRule="auto"/>
        <w:ind w:firstLine="720"/>
        <w:jc w:val="both"/>
        <w:rPr>
          <w:szCs w:val="28"/>
        </w:rPr>
      </w:pPr>
      <w:r w:rsidRPr="00320144">
        <w:rPr>
          <w:szCs w:val="28"/>
        </w:rPr>
        <w:t xml:space="preserve">Предлагается согласиться </w:t>
      </w:r>
      <w:proofErr w:type="gramStart"/>
      <w:r w:rsidRPr="00320144">
        <w:rPr>
          <w:szCs w:val="28"/>
        </w:rPr>
        <w:t>в предприятием</w:t>
      </w:r>
      <w:proofErr w:type="gramEnd"/>
      <w:r w:rsidRPr="00320144">
        <w:rPr>
          <w:szCs w:val="28"/>
        </w:rPr>
        <w:t xml:space="preserve"> и учесть плату за технологическое присоединение к вышестоящей электросетевой организации в размере 11,113 тыс. руб.</w:t>
      </w:r>
    </w:p>
    <w:p w:rsidR="00320144" w:rsidRPr="00320144" w:rsidRDefault="00320144" w:rsidP="00320144">
      <w:pPr>
        <w:spacing w:line="276" w:lineRule="auto"/>
        <w:ind w:firstLine="720"/>
        <w:jc w:val="both"/>
        <w:rPr>
          <w:szCs w:val="28"/>
        </w:rPr>
      </w:pPr>
      <w:r w:rsidRPr="00320144">
        <w:rPr>
          <w:szCs w:val="28"/>
        </w:rPr>
        <w:t>Таким образом, при расчете размера платы за технологическое присоединение предлагается учесть объем капитальных вложений ОАО «РЖД» для осуществления технологического присоединения энергопринимающих устройств ООО «</w:t>
      </w:r>
      <w:proofErr w:type="spellStart"/>
      <w:r w:rsidRPr="00320144">
        <w:rPr>
          <w:szCs w:val="28"/>
        </w:rPr>
        <w:t>КЭнК</w:t>
      </w:r>
      <w:proofErr w:type="spellEnd"/>
      <w:r w:rsidRPr="00320144">
        <w:rPr>
          <w:szCs w:val="28"/>
        </w:rPr>
        <w:t>» в размере 0,000 тыс. руб., кроме того, 11,113 тыс. руб. – рассчитанная в соответствии с постановлением РЭК Кемеровской области от 31.12.2017 №776 плата за технологическое присоединение к вышестоящей электросетевой организации.</w:t>
      </w:r>
    </w:p>
    <w:p w:rsidR="00320144" w:rsidRPr="00320144" w:rsidRDefault="00320144" w:rsidP="00320144">
      <w:pPr>
        <w:spacing w:line="276" w:lineRule="auto"/>
        <w:jc w:val="center"/>
        <w:rPr>
          <w:b/>
          <w:szCs w:val="28"/>
        </w:rPr>
      </w:pPr>
    </w:p>
    <w:p w:rsidR="00320144" w:rsidRPr="00320144" w:rsidRDefault="00320144" w:rsidP="00320144">
      <w:pPr>
        <w:spacing w:line="276" w:lineRule="auto"/>
        <w:jc w:val="center"/>
        <w:rPr>
          <w:b/>
          <w:szCs w:val="28"/>
        </w:rPr>
      </w:pPr>
      <w:r w:rsidRPr="00320144">
        <w:rPr>
          <w:b/>
          <w:szCs w:val="28"/>
        </w:rPr>
        <w:lastRenderedPageBreak/>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320144" w:rsidRPr="00320144" w:rsidRDefault="00320144" w:rsidP="00320144">
      <w:pPr>
        <w:spacing w:line="276" w:lineRule="auto"/>
        <w:jc w:val="center"/>
        <w:rPr>
          <w:b/>
          <w:szCs w:val="28"/>
        </w:rPr>
      </w:pPr>
    </w:p>
    <w:p w:rsidR="00320144" w:rsidRPr="00320144" w:rsidRDefault="00320144" w:rsidP="00320144">
      <w:pPr>
        <w:spacing w:line="276" w:lineRule="auto"/>
        <w:ind w:firstLine="720"/>
        <w:jc w:val="both"/>
        <w:rPr>
          <w:szCs w:val="28"/>
        </w:rPr>
      </w:pPr>
      <w:r w:rsidRPr="00320144">
        <w:rPr>
          <w:szCs w:val="28"/>
        </w:rPr>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320144" w:rsidRPr="00320144" w:rsidRDefault="00320144" w:rsidP="00320144">
      <w:pPr>
        <w:spacing w:line="276" w:lineRule="auto"/>
        <w:ind w:firstLine="720"/>
        <w:jc w:val="both"/>
        <w:rPr>
          <w:szCs w:val="28"/>
        </w:rPr>
      </w:pPr>
      <w:r w:rsidRPr="00320144">
        <w:rPr>
          <w:szCs w:val="28"/>
        </w:rPr>
        <w:t>В соответствии с п. 42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320144" w:rsidRPr="00320144" w:rsidRDefault="00320144" w:rsidP="00320144">
      <w:pPr>
        <w:spacing w:line="276" w:lineRule="auto"/>
        <w:ind w:firstLine="720"/>
        <w:jc w:val="both"/>
        <w:rPr>
          <w:szCs w:val="28"/>
        </w:rPr>
      </w:pPr>
      <w:r w:rsidRPr="00320144">
        <w:rPr>
          <w:szCs w:val="28"/>
        </w:rPr>
        <w:t>Для осуществления технологического присоединения энергопринимающих устройств ООО «</w:t>
      </w:r>
      <w:proofErr w:type="spellStart"/>
      <w:r w:rsidRPr="00320144">
        <w:rPr>
          <w:szCs w:val="28"/>
        </w:rPr>
        <w:t>КЭнК</w:t>
      </w:r>
      <w:proofErr w:type="spellEnd"/>
      <w:r w:rsidRPr="00320144">
        <w:rPr>
          <w:szCs w:val="28"/>
        </w:rPr>
        <w:t>» к электрическим сетям, выданными техническими условиями не предусмотрено мероприятий на существующих сетях.</w:t>
      </w:r>
    </w:p>
    <w:p w:rsidR="00320144" w:rsidRPr="00320144" w:rsidRDefault="00320144" w:rsidP="00320144">
      <w:pPr>
        <w:spacing w:line="276" w:lineRule="auto"/>
        <w:ind w:firstLine="720"/>
        <w:jc w:val="both"/>
        <w:rPr>
          <w:szCs w:val="28"/>
        </w:rPr>
      </w:pPr>
      <w:r w:rsidRPr="00320144">
        <w:rPr>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320144" w:rsidRPr="00320144" w:rsidRDefault="00320144" w:rsidP="00320144">
      <w:pPr>
        <w:spacing w:line="276" w:lineRule="auto"/>
        <w:jc w:val="center"/>
        <w:rPr>
          <w:rFonts w:eastAsia="Calibri"/>
          <w:b/>
          <w:szCs w:val="28"/>
          <w:lang w:eastAsia="en-US"/>
        </w:rPr>
      </w:pPr>
    </w:p>
    <w:p w:rsidR="00320144" w:rsidRPr="00320144" w:rsidRDefault="00320144" w:rsidP="00320144">
      <w:pPr>
        <w:spacing w:line="276" w:lineRule="auto"/>
        <w:jc w:val="center"/>
        <w:rPr>
          <w:rFonts w:eastAsia="Calibri"/>
          <w:b/>
          <w:szCs w:val="28"/>
          <w:lang w:eastAsia="en-US"/>
        </w:rPr>
      </w:pPr>
      <w:r w:rsidRPr="00320144">
        <w:rPr>
          <w:rFonts w:eastAsia="Calibri"/>
          <w:b/>
          <w:szCs w:val="28"/>
          <w:lang w:eastAsia="en-US"/>
        </w:rPr>
        <w:t>Стоимость мероприятий, не включающих в себя строительство и реконструкцию объектов электросетевого хозяйства</w:t>
      </w:r>
    </w:p>
    <w:p w:rsidR="00320144" w:rsidRPr="00320144" w:rsidRDefault="00320144" w:rsidP="00320144">
      <w:pPr>
        <w:spacing w:line="276" w:lineRule="auto"/>
        <w:jc w:val="center"/>
        <w:rPr>
          <w:rFonts w:eastAsia="Calibri"/>
          <w:b/>
          <w:szCs w:val="28"/>
          <w:lang w:eastAsia="en-US"/>
        </w:rPr>
      </w:pPr>
    </w:p>
    <w:p w:rsidR="00320144" w:rsidRPr="00320144" w:rsidRDefault="00320144" w:rsidP="00320144">
      <w:pPr>
        <w:autoSpaceDE w:val="0"/>
        <w:autoSpaceDN w:val="0"/>
        <w:adjustRightInd w:val="0"/>
        <w:spacing w:line="276" w:lineRule="auto"/>
        <w:ind w:firstLine="709"/>
        <w:jc w:val="both"/>
        <w:rPr>
          <w:rFonts w:eastAsia="Calibri"/>
          <w:szCs w:val="28"/>
        </w:rPr>
      </w:pPr>
      <w:r w:rsidRPr="00320144">
        <w:rPr>
          <w:rFonts w:eastAsia="Calibri"/>
          <w:szCs w:val="28"/>
          <w:lang w:eastAsia="en-US"/>
        </w:rPr>
        <w:t xml:space="preserve">Общество предлагает затраты в НВВ на мероприятия, не включающие в себя строительство и реконструкцию объектов </w:t>
      </w:r>
      <w:r w:rsidRPr="00320144">
        <w:rPr>
          <w:rFonts w:eastAsia="Calibri"/>
          <w:szCs w:val="28"/>
        </w:rPr>
        <w:t xml:space="preserve">за технологическое присоединение к электрическим сетям, в сумме 11,113 тыс. руб. без НДС. </w:t>
      </w:r>
    </w:p>
    <w:p w:rsidR="00320144" w:rsidRPr="00320144" w:rsidRDefault="00320144" w:rsidP="00320144">
      <w:pPr>
        <w:autoSpaceDE w:val="0"/>
        <w:autoSpaceDN w:val="0"/>
        <w:adjustRightInd w:val="0"/>
        <w:ind w:firstLine="540"/>
        <w:jc w:val="both"/>
        <w:rPr>
          <w:rFonts w:eastAsia="Calibri"/>
          <w:szCs w:val="28"/>
        </w:rPr>
      </w:pPr>
      <w:r w:rsidRPr="00320144">
        <w:rPr>
          <w:rFonts w:eastAsia="Calibri"/>
          <w:szCs w:val="28"/>
        </w:rPr>
        <w:t xml:space="preserve">В соответствии с разделом </w:t>
      </w:r>
      <w:r w:rsidRPr="00320144">
        <w:rPr>
          <w:rFonts w:eastAsia="Calibri"/>
          <w:szCs w:val="28"/>
          <w:lang w:val="en-US"/>
        </w:rPr>
        <w:t>V</w:t>
      </w:r>
      <w:r w:rsidRPr="00320144">
        <w:rPr>
          <w:rFonts w:eastAsia="Calibri"/>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320144">
          <w:rPr>
            <w:rFonts w:eastAsia="Calibri"/>
            <w:color w:val="000000"/>
            <w:szCs w:val="28"/>
          </w:rPr>
          <w:t>формуле</w:t>
        </w:r>
        <w:r w:rsidRPr="00320144">
          <w:rPr>
            <w:rFonts w:eastAsia="Calibri"/>
            <w:color w:val="0000FF"/>
            <w:szCs w:val="28"/>
          </w:rPr>
          <w:t xml:space="preserve"> </w:t>
        </w:r>
      </w:hyperlink>
      <w:r w:rsidRPr="00320144">
        <w:rPr>
          <w:rFonts w:eastAsia="Calibri"/>
          <w:szCs w:val="28"/>
        </w:rPr>
        <w:t>и устанавливается в тыс. рублей:</w:t>
      </w:r>
    </w:p>
    <w:p w:rsidR="00320144" w:rsidRPr="00320144" w:rsidRDefault="00320144" w:rsidP="00320144">
      <w:pPr>
        <w:autoSpaceDE w:val="0"/>
        <w:autoSpaceDN w:val="0"/>
        <w:adjustRightInd w:val="0"/>
        <w:jc w:val="both"/>
        <w:outlineLvl w:val="0"/>
        <w:rPr>
          <w:rFonts w:eastAsia="Calibri"/>
          <w:szCs w:val="28"/>
        </w:rPr>
      </w:pPr>
    </w:p>
    <w:p w:rsidR="00320144" w:rsidRPr="00320144" w:rsidRDefault="00320144" w:rsidP="00320144">
      <w:pPr>
        <w:autoSpaceDE w:val="0"/>
        <w:autoSpaceDN w:val="0"/>
        <w:adjustRightInd w:val="0"/>
        <w:jc w:val="center"/>
        <w:rPr>
          <w:rFonts w:eastAsia="Calibri"/>
          <w:szCs w:val="28"/>
        </w:rPr>
      </w:pPr>
      <w:bookmarkStart w:id="5" w:name="Par2"/>
      <w:bookmarkEnd w:id="5"/>
      <w:r w:rsidRPr="00320144">
        <w:rPr>
          <w:rFonts w:eastAsia="Calibri"/>
          <w:szCs w:val="28"/>
        </w:rPr>
        <w:t xml:space="preserve">ПТП = Р + </w:t>
      </w:r>
      <w:proofErr w:type="spellStart"/>
      <w:r w:rsidRPr="00320144">
        <w:rPr>
          <w:rFonts w:eastAsia="Calibri"/>
          <w:szCs w:val="28"/>
        </w:rPr>
        <w:t>Ри</w:t>
      </w:r>
      <w:proofErr w:type="spellEnd"/>
      <w:r w:rsidRPr="00320144">
        <w:rPr>
          <w:rFonts w:eastAsia="Calibri"/>
          <w:szCs w:val="28"/>
        </w:rPr>
        <w:t xml:space="preserve"> + </w:t>
      </w:r>
      <w:proofErr w:type="spellStart"/>
      <w:r w:rsidRPr="00320144">
        <w:rPr>
          <w:rFonts w:eastAsia="Calibri"/>
          <w:szCs w:val="28"/>
        </w:rPr>
        <w:t>Ртп</w:t>
      </w:r>
      <w:proofErr w:type="spellEnd"/>
      <w:r w:rsidRPr="00320144">
        <w:rPr>
          <w:rFonts w:eastAsia="Calibri"/>
          <w:szCs w:val="28"/>
        </w:rPr>
        <w:t xml:space="preserve"> (тыс. руб.)</w:t>
      </w:r>
    </w:p>
    <w:p w:rsidR="00320144" w:rsidRPr="00320144" w:rsidRDefault="00320144" w:rsidP="00320144">
      <w:pPr>
        <w:autoSpaceDE w:val="0"/>
        <w:autoSpaceDN w:val="0"/>
        <w:adjustRightInd w:val="0"/>
        <w:ind w:firstLine="540"/>
        <w:jc w:val="both"/>
        <w:rPr>
          <w:rFonts w:eastAsia="Calibri"/>
          <w:szCs w:val="28"/>
        </w:rPr>
      </w:pPr>
      <w:r w:rsidRPr="00320144">
        <w:rPr>
          <w:rFonts w:eastAsia="Calibri"/>
          <w:szCs w:val="28"/>
        </w:rPr>
        <w:t>где:</w:t>
      </w:r>
    </w:p>
    <w:p w:rsidR="00320144" w:rsidRPr="00320144" w:rsidRDefault="00320144" w:rsidP="00320144">
      <w:pPr>
        <w:autoSpaceDE w:val="0"/>
        <w:autoSpaceDN w:val="0"/>
        <w:adjustRightInd w:val="0"/>
        <w:spacing w:before="280"/>
        <w:ind w:firstLine="540"/>
        <w:jc w:val="both"/>
        <w:rPr>
          <w:rFonts w:eastAsia="Calibri"/>
          <w:szCs w:val="28"/>
        </w:rPr>
      </w:pPr>
      <w:r w:rsidRPr="00320144">
        <w:rPr>
          <w:rFonts w:eastAsia="Calibri"/>
          <w:szCs w:val="28"/>
        </w:rPr>
        <w:lastRenderedPageBreak/>
        <w:t xml:space="preserve">Р - стоимость мероприятий, перечисленных в </w:t>
      </w:r>
      <w:hyperlink r:id="rId9" w:history="1">
        <w:r w:rsidRPr="00320144">
          <w:rPr>
            <w:rFonts w:eastAsia="Calibri"/>
            <w:color w:val="000000"/>
            <w:szCs w:val="28"/>
          </w:rPr>
          <w:t>пункте 16</w:t>
        </w:r>
      </w:hyperlink>
      <w:r w:rsidRPr="00320144">
        <w:rPr>
          <w:rFonts w:eastAsia="Calibri"/>
          <w:szCs w:val="28"/>
        </w:rPr>
        <w:t xml:space="preserve"> (за исключением </w:t>
      </w:r>
      <w:hyperlink r:id="rId10" w:history="1">
        <w:r w:rsidRPr="00320144">
          <w:rPr>
            <w:rFonts w:eastAsia="Calibri"/>
            <w:color w:val="000000"/>
            <w:szCs w:val="28"/>
          </w:rPr>
          <w:t>подпункта "б")</w:t>
        </w:r>
      </w:hyperlink>
      <w:r w:rsidRPr="00320144">
        <w:rPr>
          <w:rFonts w:eastAsia="Calibri"/>
          <w:color w:val="000000"/>
          <w:szCs w:val="28"/>
        </w:rPr>
        <w:t xml:space="preserve"> </w:t>
      </w:r>
      <w:r w:rsidRPr="00320144">
        <w:rPr>
          <w:rFonts w:eastAsia="Calibri"/>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320144" w:rsidRPr="00320144" w:rsidRDefault="00320144" w:rsidP="00320144">
      <w:pPr>
        <w:autoSpaceDE w:val="0"/>
        <w:autoSpaceDN w:val="0"/>
        <w:adjustRightInd w:val="0"/>
        <w:spacing w:before="280"/>
        <w:ind w:firstLine="540"/>
        <w:jc w:val="both"/>
        <w:rPr>
          <w:rFonts w:eastAsia="Calibri"/>
          <w:szCs w:val="28"/>
        </w:rPr>
      </w:pPr>
      <w:proofErr w:type="spellStart"/>
      <w:r w:rsidRPr="00320144">
        <w:rPr>
          <w:rFonts w:eastAsia="Calibri"/>
          <w:szCs w:val="28"/>
        </w:rPr>
        <w:t>Р</w:t>
      </w:r>
      <w:r w:rsidRPr="00320144">
        <w:rPr>
          <w:rFonts w:eastAsia="Calibri"/>
          <w:szCs w:val="28"/>
          <w:vertAlign w:val="subscript"/>
        </w:rPr>
        <w:t>и</w:t>
      </w:r>
      <w:proofErr w:type="spellEnd"/>
      <w:r w:rsidRPr="00320144">
        <w:rPr>
          <w:rFonts w:eastAsia="Calibri"/>
          <w:szCs w:val="28"/>
        </w:rPr>
        <w:t xml:space="preserve"> - расходы на выполнение мероприятий "последней мили" </w:t>
      </w:r>
      <w:r w:rsidRPr="00320144">
        <w:rPr>
          <w:rFonts w:eastAsia="Calibri"/>
          <w:color w:val="000000"/>
          <w:szCs w:val="28"/>
        </w:rPr>
        <w:t>(</w:t>
      </w:r>
      <w:hyperlink r:id="rId11" w:history="1">
        <w:r w:rsidRPr="00320144">
          <w:rPr>
            <w:rFonts w:eastAsia="Calibri"/>
            <w:color w:val="000000"/>
            <w:szCs w:val="28"/>
          </w:rPr>
          <w:t>подпункт "б" пункта 16</w:t>
        </w:r>
      </w:hyperlink>
      <w:r w:rsidRPr="00320144">
        <w:rPr>
          <w:rFonts w:eastAsia="Calibri"/>
          <w:color w:val="000000"/>
          <w:szCs w:val="28"/>
        </w:rPr>
        <w:t xml:space="preserve"> Методических указаний) согласно выданным техническим условиям, определяемые</w:t>
      </w:r>
      <w:r w:rsidRPr="00320144">
        <w:rPr>
          <w:rFonts w:eastAsia="Calibri"/>
          <w:szCs w:val="28"/>
        </w:rPr>
        <w:t xml:space="preserve"> по смете, выполненной с применением сметных нормативов;</w:t>
      </w:r>
    </w:p>
    <w:p w:rsidR="00320144" w:rsidRPr="00320144" w:rsidRDefault="00320144" w:rsidP="00320144">
      <w:pPr>
        <w:autoSpaceDE w:val="0"/>
        <w:autoSpaceDN w:val="0"/>
        <w:adjustRightInd w:val="0"/>
        <w:spacing w:before="280"/>
        <w:ind w:firstLine="540"/>
        <w:jc w:val="both"/>
        <w:rPr>
          <w:rFonts w:eastAsia="Calibri"/>
          <w:szCs w:val="28"/>
        </w:rPr>
      </w:pPr>
      <w:proofErr w:type="spellStart"/>
      <w:r w:rsidRPr="00320144">
        <w:rPr>
          <w:rFonts w:eastAsia="Calibri"/>
          <w:szCs w:val="28"/>
        </w:rPr>
        <w:t>Р</w:t>
      </w:r>
      <w:r w:rsidRPr="00320144">
        <w:rPr>
          <w:rFonts w:eastAsia="Calibri"/>
          <w:szCs w:val="28"/>
          <w:vertAlign w:val="subscript"/>
        </w:rPr>
        <w:t>тп</w:t>
      </w:r>
      <w:proofErr w:type="spellEnd"/>
      <w:r w:rsidRPr="00320144">
        <w:rPr>
          <w:rFonts w:eastAsia="Calibri"/>
          <w:szCs w:val="28"/>
        </w:rPr>
        <w:t xml:space="preserve"> - расходы на оплату услуг технологического присоединения к электрическим сетям смежной сетевой организации.</w:t>
      </w:r>
    </w:p>
    <w:p w:rsidR="00320144" w:rsidRPr="00320144" w:rsidRDefault="00320144" w:rsidP="00320144">
      <w:pPr>
        <w:tabs>
          <w:tab w:val="left" w:pos="993"/>
        </w:tabs>
        <w:autoSpaceDE w:val="0"/>
        <w:autoSpaceDN w:val="0"/>
        <w:adjustRightInd w:val="0"/>
        <w:spacing w:line="276" w:lineRule="auto"/>
        <w:ind w:firstLine="709"/>
        <w:jc w:val="both"/>
        <w:rPr>
          <w:rFonts w:eastAsia="Calibri"/>
          <w:szCs w:val="28"/>
        </w:rPr>
      </w:pPr>
    </w:p>
    <w:p w:rsidR="00320144" w:rsidRPr="00320144" w:rsidRDefault="00320144" w:rsidP="00320144">
      <w:pPr>
        <w:spacing w:line="276" w:lineRule="auto"/>
        <w:ind w:firstLine="567"/>
        <w:jc w:val="both"/>
        <w:rPr>
          <w:rFonts w:eastAsia="Calibri"/>
          <w:szCs w:val="28"/>
        </w:rPr>
      </w:pPr>
      <w:r w:rsidRPr="00320144">
        <w:rPr>
          <w:rFonts w:eastAsia="Calibri"/>
          <w:szCs w:val="28"/>
        </w:rPr>
        <w:t xml:space="preserve">Эксперт предлагает принять к учету расходы на мероприятия </w:t>
      </w:r>
      <w:r w:rsidRPr="00320144">
        <w:rPr>
          <w:rFonts w:eastAsia="Calibri"/>
          <w:szCs w:val="28"/>
          <w:lang w:eastAsia="en-US"/>
        </w:rPr>
        <w:t>не включающих в себя строительство и реконструкцию объектов электросетевого хозяйства</w:t>
      </w:r>
      <w:r w:rsidRPr="00320144">
        <w:rPr>
          <w:rFonts w:eastAsia="Calibri"/>
          <w:szCs w:val="28"/>
        </w:rPr>
        <w:t xml:space="preserve"> в размере 11,113 тыс. руб. в соответствии с таблицей 1 приложения №1 Постановления РЭК №776 от 31.12.2017 «</w:t>
      </w:r>
      <w:r w:rsidRPr="00320144">
        <w:rPr>
          <w:rFonts w:eastAsia="Calibri"/>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sidRPr="00320144">
        <w:rPr>
          <w:rFonts w:eastAsia="Calibri"/>
          <w:szCs w:val="28"/>
        </w:rPr>
        <w:t>» в т.ч.:</w:t>
      </w:r>
    </w:p>
    <w:p w:rsidR="00320144" w:rsidRPr="00320144" w:rsidRDefault="00320144" w:rsidP="00320144">
      <w:pPr>
        <w:spacing w:line="276" w:lineRule="auto"/>
        <w:ind w:firstLine="567"/>
        <w:jc w:val="both"/>
        <w:rPr>
          <w:rFonts w:eastAsia="Calibri"/>
          <w:szCs w:val="28"/>
        </w:rPr>
      </w:pPr>
    </w:p>
    <w:tbl>
      <w:tblPr>
        <w:tblW w:w="9922" w:type="dxa"/>
        <w:tblInd w:w="-289" w:type="dxa"/>
        <w:tblLook w:val="04A0" w:firstRow="1" w:lastRow="0" w:firstColumn="1" w:lastColumn="0" w:noHBand="0" w:noVBand="1"/>
      </w:tblPr>
      <w:tblGrid>
        <w:gridCol w:w="994"/>
        <w:gridCol w:w="5808"/>
        <w:gridCol w:w="1568"/>
        <w:gridCol w:w="1552"/>
      </w:tblGrid>
      <w:tr w:rsidR="00320144" w:rsidRPr="00320144" w:rsidTr="00320144">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320144" w:rsidRPr="00320144" w:rsidRDefault="00320144" w:rsidP="00320144">
            <w:pPr>
              <w:ind w:left="-108"/>
              <w:jc w:val="center"/>
              <w:rPr>
                <w:color w:val="000000"/>
                <w:sz w:val="22"/>
              </w:rPr>
            </w:pPr>
            <w:r w:rsidRPr="00320144">
              <w:rPr>
                <w:color w:val="000000"/>
                <w:sz w:val="22"/>
              </w:rPr>
              <w:t>№</w:t>
            </w:r>
          </w:p>
          <w:p w:rsidR="00320144" w:rsidRPr="00320144" w:rsidRDefault="00320144" w:rsidP="00320144">
            <w:pPr>
              <w:ind w:left="-108"/>
              <w:jc w:val="center"/>
              <w:rPr>
                <w:color w:val="000000"/>
                <w:sz w:val="22"/>
              </w:rPr>
            </w:pPr>
            <w:r w:rsidRPr="00320144">
              <w:rPr>
                <w:color w:val="000000"/>
                <w:sz w:val="22"/>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320144" w:rsidRPr="00320144" w:rsidRDefault="00320144" w:rsidP="00320144">
            <w:pPr>
              <w:jc w:val="center"/>
              <w:rPr>
                <w:bCs/>
                <w:color w:val="000000"/>
                <w:sz w:val="22"/>
              </w:rPr>
            </w:pPr>
            <w:r w:rsidRPr="00320144">
              <w:rPr>
                <w:bCs/>
                <w:color w:val="000000"/>
                <w:sz w:val="22"/>
              </w:rPr>
              <w:t xml:space="preserve">Наименование стандартизированной </w:t>
            </w:r>
          </w:p>
          <w:p w:rsidR="00320144" w:rsidRPr="00320144" w:rsidRDefault="00320144" w:rsidP="00320144">
            <w:pPr>
              <w:jc w:val="center"/>
              <w:rPr>
                <w:bCs/>
                <w:color w:val="000000"/>
                <w:sz w:val="22"/>
              </w:rPr>
            </w:pPr>
            <w:r w:rsidRPr="00320144">
              <w:rPr>
                <w:bCs/>
                <w:color w:val="000000"/>
                <w:sz w:val="22"/>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0144" w:rsidRPr="00320144" w:rsidRDefault="00320144" w:rsidP="00320144">
            <w:pPr>
              <w:jc w:val="center"/>
              <w:rPr>
                <w:bCs/>
                <w:color w:val="000000"/>
                <w:sz w:val="22"/>
              </w:rPr>
            </w:pPr>
            <w:r w:rsidRPr="00320144">
              <w:rPr>
                <w:bCs/>
                <w:color w:val="000000"/>
                <w:sz w:val="22"/>
              </w:rPr>
              <w:t>Размер стандартизированной тарифной ставки в зависимости от схемы присоединения</w:t>
            </w:r>
          </w:p>
        </w:tc>
      </w:tr>
      <w:tr w:rsidR="00320144" w:rsidRPr="00320144" w:rsidTr="00320144">
        <w:trPr>
          <w:trHeight w:val="231"/>
        </w:trPr>
        <w:tc>
          <w:tcPr>
            <w:tcW w:w="501" w:type="pct"/>
            <w:vMerge/>
            <w:tcBorders>
              <w:left w:val="single" w:sz="4" w:space="0" w:color="auto"/>
              <w:right w:val="single" w:sz="4" w:space="0" w:color="auto"/>
            </w:tcBorders>
            <w:shd w:val="clear" w:color="auto" w:fill="auto"/>
            <w:noWrap/>
            <w:vAlign w:val="center"/>
          </w:tcPr>
          <w:p w:rsidR="00320144" w:rsidRPr="00320144" w:rsidRDefault="00320144" w:rsidP="00320144">
            <w:pPr>
              <w:ind w:left="-108"/>
              <w:jc w:val="center"/>
              <w:rPr>
                <w:color w:val="000000"/>
                <w:sz w:val="22"/>
              </w:rPr>
            </w:pPr>
          </w:p>
        </w:tc>
        <w:tc>
          <w:tcPr>
            <w:tcW w:w="2927" w:type="pct"/>
            <w:vMerge/>
            <w:tcBorders>
              <w:left w:val="single" w:sz="4" w:space="0" w:color="auto"/>
              <w:right w:val="single" w:sz="4" w:space="0" w:color="auto"/>
            </w:tcBorders>
            <w:shd w:val="clear" w:color="auto" w:fill="auto"/>
            <w:noWrap/>
            <w:vAlign w:val="center"/>
          </w:tcPr>
          <w:p w:rsidR="00320144" w:rsidRPr="00320144" w:rsidRDefault="00320144" w:rsidP="00320144">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jc w:val="center"/>
              <w:rPr>
                <w:bCs/>
                <w:color w:val="000000"/>
                <w:sz w:val="22"/>
              </w:rPr>
            </w:pPr>
            <w:r w:rsidRPr="00320144">
              <w:rPr>
                <w:bCs/>
                <w:color w:val="000000"/>
                <w:sz w:val="22"/>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jc w:val="center"/>
              <w:rPr>
                <w:bCs/>
                <w:color w:val="000000"/>
                <w:sz w:val="22"/>
              </w:rPr>
            </w:pPr>
            <w:r w:rsidRPr="00320144">
              <w:rPr>
                <w:bCs/>
                <w:color w:val="000000"/>
                <w:sz w:val="22"/>
              </w:rPr>
              <w:t>Временная схема</w:t>
            </w:r>
          </w:p>
        </w:tc>
      </w:tr>
      <w:tr w:rsidR="00320144" w:rsidRPr="00320144" w:rsidTr="00320144">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320144" w:rsidRPr="00320144" w:rsidRDefault="00320144" w:rsidP="00320144">
            <w:pPr>
              <w:ind w:left="-108"/>
              <w:jc w:val="center"/>
              <w:rPr>
                <w:color w:val="000000"/>
                <w:sz w:val="22"/>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320144" w:rsidRPr="00320144" w:rsidRDefault="00320144" w:rsidP="00320144">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jc w:val="center"/>
              <w:rPr>
                <w:bCs/>
                <w:color w:val="000000"/>
                <w:sz w:val="22"/>
              </w:rPr>
            </w:pPr>
            <w:r w:rsidRPr="00320144">
              <w:rPr>
                <w:bCs/>
                <w:color w:val="000000"/>
                <w:sz w:val="22"/>
              </w:rPr>
              <w:t>тыс. руб./</w:t>
            </w:r>
            <w:proofErr w:type="spellStart"/>
            <w:r w:rsidRPr="00320144">
              <w:rPr>
                <w:bCs/>
                <w:color w:val="000000"/>
                <w:sz w:val="22"/>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jc w:val="center"/>
              <w:rPr>
                <w:bCs/>
                <w:color w:val="000000"/>
                <w:sz w:val="22"/>
              </w:rPr>
            </w:pPr>
            <w:r w:rsidRPr="00320144">
              <w:rPr>
                <w:bCs/>
                <w:color w:val="000000"/>
                <w:sz w:val="22"/>
              </w:rPr>
              <w:t>тыс. руб./</w:t>
            </w:r>
            <w:proofErr w:type="spellStart"/>
            <w:r w:rsidRPr="00320144">
              <w:rPr>
                <w:bCs/>
                <w:color w:val="000000"/>
                <w:sz w:val="22"/>
              </w:rPr>
              <w:t>шт</w:t>
            </w:r>
            <w:proofErr w:type="spellEnd"/>
          </w:p>
        </w:tc>
      </w:tr>
      <w:tr w:rsidR="00320144" w:rsidRPr="00320144" w:rsidTr="00320144">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144" w:rsidRPr="00320144" w:rsidRDefault="00320144" w:rsidP="00320144">
            <w:pPr>
              <w:autoSpaceDE w:val="0"/>
              <w:autoSpaceDN w:val="0"/>
              <w:adjustRightInd w:val="0"/>
              <w:jc w:val="center"/>
              <w:rPr>
                <w:rFonts w:eastAsia="Calibri"/>
                <w:sz w:val="22"/>
                <w:lang w:eastAsia="en-US"/>
              </w:rPr>
            </w:pPr>
            <w:r w:rsidRPr="00320144">
              <w:rPr>
                <w:rFonts w:eastAsia="Calibri"/>
                <w:sz w:val="22"/>
                <w:lang w:eastAsia="en-US"/>
              </w:rPr>
              <w:t>С</w:t>
            </w:r>
            <w:r w:rsidRPr="00320144">
              <w:rPr>
                <w:rFonts w:eastAsia="Calibri"/>
                <w:sz w:val="22"/>
                <w:vertAlign w:val="subscript"/>
                <w:lang w:eastAsia="en-US"/>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144" w:rsidRPr="00320144" w:rsidRDefault="00320144" w:rsidP="00320144">
            <w:pPr>
              <w:autoSpaceDE w:val="0"/>
              <w:autoSpaceDN w:val="0"/>
              <w:adjustRightInd w:val="0"/>
              <w:jc w:val="both"/>
              <w:rPr>
                <w:rFonts w:eastAsia="Calibri"/>
                <w:sz w:val="22"/>
                <w:lang w:eastAsia="en-US"/>
              </w:rPr>
            </w:pPr>
            <w:r w:rsidRPr="00320144">
              <w:rPr>
                <w:rFonts w:eastAsia="Calibri"/>
                <w:sz w:val="22"/>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jc w:val="center"/>
              <w:rPr>
                <w:rFonts w:eastAsia="Calibri"/>
                <w:sz w:val="22"/>
                <w:lang w:val="en-US" w:eastAsia="en-US"/>
              </w:rPr>
            </w:pPr>
            <w:r w:rsidRPr="00320144">
              <w:rPr>
                <w:rFonts w:eastAsia="Calibri"/>
                <w:sz w:val="22"/>
                <w:lang w:val="en-US" w:eastAsia="en-US"/>
              </w:rPr>
              <w:t>11</w:t>
            </w:r>
            <w:r w:rsidRPr="00320144">
              <w:rPr>
                <w:rFonts w:eastAsia="Calibri"/>
                <w:sz w:val="22"/>
                <w:lang w:eastAsia="en-US"/>
              </w:rPr>
              <w:t>,</w:t>
            </w:r>
            <w:r w:rsidRPr="00320144">
              <w:rPr>
                <w:rFonts w:eastAsia="Calibri"/>
                <w:sz w:val="22"/>
                <w:lang w:val="en-US" w:eastAsia="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jc w:val="center"/>
              <w:rPr>
                <w:rFonts w:eastAsia="Calibri"/>
                <w:sz w:val="22"/>
                <w:lang w:val="en-US" w:eastAsia="en-US"/>
              </w:rPr>
            </w:pPr>
            <w:r w:rsidRPr="00320144">
              <w:rPr>
                <w:rFonts w:eastAsia="Calibri"/>
                <w:sz w:val="22"/>
                <w:lang w:eastAsia="en-US"/>
              </w:rPr>
              <w:t>1</w:t>
            </w:r>
            <w:r w:rsidRPr="00320144">
              <w:rPr>
                <w:rFonts w:eastAsia="Calibri"/>
                <w:sz w:val="22"/>
                <w:lang w:val="en-US" w:eastAsia="en-US"/>
              </w:rPr>
              <w:t>1</w:t>
            </w:r>
            <w:r w:rsidRPr="00320144">
              <w:rPr>
                <w:rFonts w:eastAsia="Calibri"/>
                <w:sz w:val="22"/>
                <w:lang w:eastAsia="en-US"/>
              </w:rPr>
              <w:t>,</w:t>
            </w:r>
            <w:r w:rsidRPr="00320144">
              <w:rPr>
                <w:rFonts w:eastAsia="Calibri"/>
                <w:sz w:val="22"/>
                <w:lang w:val="en-US" w:eastAsia="en-US"/>
              </w:rPr>
              <w:t>113</w:t>
            </w:r>
          </w:p>
        </w:tc>
      </w:tr>
      <w:tr w:rsidR="00320144" w:rsidRPr="00320144" w:rsidTr="00320144">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autoSpaceDE w:val="0"/>
              <w:autoSpaceDN w:val="0"/>
              <w:adjustRightInd w:val="0"/>
              <w:jc w:val="center"/>
              <w:rPr>
                <w:rFonts w:eastAsia="Calibri"/>
                <w:sz w:val="22"/>
                <w:lang w:eastAsia="en-US"/>
              </w:rPr>
            </w:pPr>
            <w:r w:rsidRPr="00320144">
              <w:rPr>
                <w:rFonts w:eastAsia="Calibri"/>
                <w:sz w:val="22"/>
                <w:lang w:eastAsia="en-US"/>
              </w:rPr>
              <w:t>С</w:t>
            </w:r>
            <w:r w:rsidRPr="00320144">
              <w:rPr>
                <w:rFonts w:eastAsia="Calibri"/>
                <w:sz w:val="22"/>
                <w:vertAlign w:val="subscript"/>
                <w:lang w:eastAsia="en-US"/>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autoSpaceDE w:val="0"/>
              <w:autoSpaceDN w:val="0"/>
              <w:adjustRightInd w:val="0"/>
              <w:rPr>
                <w:rFonts w:eastAsia="Calibri"/>
                <w:sz w:val="22"/>
                <w:lang w:eastAsia="en-US"/>
              </w:rPr>
            </w:pPr>
            <w:r w:rsidRPr="00320144">
              <w:rPr>
                <w:rFonts w:eastAsia="Calibri"/>
                <w:sz w:val="22"/>
                <w:lang w:eastAsia="en-US"/>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jc w:val="center"/>
              <w:rPr>
                <w:rFonts w:eastAsia="Calibri"/>
                <w:sz w:val="22"/>
                <w:lang w:eastAsia="en-US"/>
              </w:rPr>
            </w:pPr>
            <w:r w:rsidRPr="00320144">
              <w:rPr>
                <w:rFonts w:eastAsia="Calibri"/>
                <w:sz w:val="22"/>
                <w:lang w:eastAsia="en-US"/>
              </w:rPr>
              <w:t>3,</w:t>
            </w:r>
            <w:r w:rsidRPr="00320144">
              <w:rPr>
                <w:rFonts w:eastAsia="Calibri"/>
                <w:sz w:val="22"/>
                <w:lang w:val="en-US" w:eastAsia="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jc w:val="center"/>
              <w:rPr>
                <w:rFonts w:eastAsia="Calibri"/>
                <w:sz w:val="22"/>
                <w:lang w:val="en-US" w:eastAsia="en-US"/>
              </w:rPr>
            </w:pPr>
            <w:r w:rsidRPr="00320144">
              <w:rPr>
                <w:rFonts w:eastAsia="Calibri"/>
                <w:sz w:val="22"/>
                <w:lang w:val="en-US" w:eastAsia="en-US"/>
              </w:rPr>
              <w:t>3</w:t>
            </w:r>
            <w:r w:rsidRPr="00320144">
              <w:rPr>
                <w:rFonts w:eastAsia="Calibri"/>
                <w:sz w:val="22"/>
                <w:lang w:eastAsia="en-US"/>
              </w:rPr>
              <w:t>,</w:t>
            </w:r>
            <w:r w:rsidRPr="00320144">
              <w:rPr>
                <w:rFonts w:eastAsia="Calibri"/>
                <w:sz w:val="22"/>
                <w:lang w:val="en-US" w:eastAsia="en-US"/>
              </w:rPr>
              <w:t>856</w:t>
            </w:r>
          </w:p>
        </w:tc>
      </w:tr>
      <w:tr w:rsidR="00320144" w:rsidRPr="00320144" w:rsidTr="00320144">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autoSpaceDE w:val="0"/>
              <w:autoSpaceDN w:val="0"/>
              <w:adjustRightInd w:val="0"/>
              <w:jc w:val="center"/>
              <w:rPr>
                <w:rFonts w:eastAsia="Calibri"/>
                <w:sz w:val="22"/>
                <w:lang w:eastAsia="en-US"/>
              </w:rPr>
            </w:pPr>
            <w:r w:rsidRPr="00320144">
              <w:rPr>
                <w:rFonts w:eastAsia="Calibri"/>
                <w:sz w:val="22"/>
                <w:lang w:eastAsia="en-US"/>
              </w:rPr>
              <w:t>С</w:t>
            </w:r>
            <w:r w:rsidRPr="00320144">
              <w:rPr>
                <w:rFonts w:eastAsia="Calibri"/>
                <w:sz w:val="22"/>
                <w:vertAlign w:val="subscript"/>
                <w:lang w:eastAsia="en-US"/>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autoSpaceDE w:val="0"/>
              <w:autoSpaceDN w:val="0"/>
              <w:adjustRightInd w:val="0"/>
              <w:jc w:val="both"/>
              <w:rPr>
                <w:rFonts w:eastAsia="Calibri"/>
                <w:sz w:val="22"/>
                <w:lang w:eastAsia="en-US"/>
              </w:rPr>
            </w:pPr>
            <w:r w:rsidRPr="00320144">
              <w:rPr>
                <w:rFonts w:eastAsia="Calibri"/>
                <w:sz w:val="22"/>
                <w:lang w:eastAsia="en-US"/>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jc w:val="center"/>
              <w:rPr>
                <w:rFonts w:eastAsia="Calibri"/>
                <w:sz w:val="22"/>
                <w:lang w:eastAsia="en-US"/>
              </w:rPr>
            </w:pPr>
            <w:r w:rsidRPr="00320144">
              <w:rPr>
                <w:rFonts w:eastAsia="Calibri"/>
                <w:sz w:val="22"/>
                <w:lang w:eastAsia="en-US"/>
              </w:rPr>
              <w:t>7,</w:t>
            </w:r>
            <w:r w:rsidRPr="00320144">
              <w:rPr>
                <w:rFonts w:eastAsia="Calibri"/>
                <w:sz w:val="22"/>
                <w:lang w:val="en-US" w:eastAsia="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320144" w:rsidRPr="00320144" w:rsidRDefault="00320144" w:rsidP="00320144">
            <w:pPr>
              <w:jc w:val="center"/>
              <w:rPr>
                <w:rFonts w:eastAsia="Calibri"/>
                <w:sz w:val="22"/>
                <w:lang w:eastAsia="en-US"/>
              </w:rPr>
            </w:pPr>
            <w:r w:rsidRPr="00320144">
              <w:rPr>
                <w:rFonts w:eastAsia="Calibri"/>
                <w:sz w:val="22"/>
                <w:lang w:val="en-US" w:eastAsia="en-US"/>
              </w:rPr>
              <w:t>7</w:t>
            </w:r>
            <w:r w:rsidRPr="00320144">
              <w:rPr>
                <w:rFonts w:eastAsia="Calibri"/>
                <w:sz w:val="22"/>
                <w:lang w:eastAsia="en-US"/>
              </w:rPr>
              <w:t>,</w:t>
            </w:r>
            <w:r w:rsidRPr="00320144">
              <w:rPr>
                <w:rFonts w:eastAsia="Calibri"/>
                <w:sz w:val="22"/>
                <w:lang w:val="en-US" w:eastAsia="en-US"/>
              </w:rPr>
              <w:t>25</w:t>
            </w:r>
            <w:r w:rsidRPr="00320144">
              <w:rPr>
                <w:rFonts w:eastAsia="Calibri"/>
                <w:sz w:val="22"/>
                <w:lang w:eastAsia="en-US"/>
              </w:rPr>
              <w:t>7</w:t>
            </w:r>
          </w:p>
        </w:tc>
      </w:tr>
    </w:tbl>
    <w:p w:rsidR="00320144" w:rsidRPr="00320144" w:rsidRDefault="00320144" w:rsidP="00320144">
      <w:pPr>
        <w:spacing w:line="276" w:lineRule="auto"/>
        <w:ind w:firstLine="567"/>
        <w:jc w:val="both"/>
        <w:rPr>
          <w:rFonts w:eastAsia="Calibri"/>
          <w:szCs w:val="28"/>
        </w:rPr>
      </w:pPr>
    </w:p>
    <w:p w:rsidR="00320144" w:rsidRPr="00320144" w:rsidRDefault="00320144" w:rsidP="00320144">
      <w:pPr>
        <w:spacing w:line="276" w:lineRule="auto"/>
        <w:ind w:firstLine="709"/>
        <w:jc w:val="both"/>
        <w:rPr>
          <w:rFonts w:eastAsia="Calibri"/>
          <w:szCs w:val="28"/>
          <w:lang w:eastAsia="en-US"/>
        </w:rPr>
      </w:pPr>
      <w:r w:rsidRPr="00320144">
        <w:rPr>
          <w:rFonts w:eastAsia="Calibri"/>
          <w:szCs w:val="28"/>
        </w:rPr>
        <w:t xml:space="preserve">Корректировка затрат по мероприятиям, </w:t>
      </w:r>
      <w:r w:rsidRPr="00320144">
        <w:rPr>
          <w:rFonts w:eastAsia="Calibri"/>
          <w:szCs w:val="28"/>
          <w:lang w:eastAsia="en-US"/>
        </w:rPr>
        <w:t xml:space="preserve">не включающим в себя строительство и </w:t>
      </w:r>
      <w:proofErr w:type="gramStart"/>
      <w:r w:rsidRPr="00320144">
        <w:rPr>
          <w:rFonts w:eastAsia="Calibri"/>
          <w:szCs w:val="28"/>
          <w:lang w:eastAsia="en-US"/>
        </w:rPr>
        <w:t>реконструкцию объектов электросетевого хозяйства</w:t>
      </w:r>
      <w:proofErr w:type="gramEnd"/>
      <w:r w:rsidRPr="00320144">
        <w:rPr>
          <w:rFonts w:eastAsia="Calibri"/>
          <w:szCs w:val="28"/>
          <w:lang w:eastAsia="en-US"/>
        </w:rPr>
        <w:t xml:space="preserve"> составила 0</w:t>
      </w:r>
      <w:r w:rsidRPr="00320144">
        <w:rPr>
          <w:rFonts w:eastAsia="Calibri"/>
          <w:color w:val="000000"/>
          <w:szCs w:val="28"/>
          <w:lang w:eastAsia="en-US"/>
        </w:rPr>
        <w:t xml:space="preserve"> </w:t>
      </w:r>
      <w:r w:rsidRPr="00320144">
        <w:rPr>
          <w:rFonts w:eastAsia="Calibri"/>
          <w:szCs w:val="28"/>
          <w:lang w:eastAsia="en-US"/>
        </w:rPr>
        <w:t>тыс. руб.</w:t>
      </w:r>
    </w:p>
    <w:p w:rsidR="00320144" w:rsidRPr="00320144" w:rsidRDefault="00320144" w:rsidP="00320144">
      <w:pPr>
        <w:spacing w:line="276" w:lineRule="auto"/>
        <w:ind w:firstLine="709"/>
        <w:jc w:val="both"/>
        <w:rPr>
          <w:rFonts w:eastAsia="Calibri"/>
          <w:szCs w:val="28"/>
          <w:lang w:eastAsia="en-US"/>
        </w:rPr>
      </w:pPr>
    </w:p>
    <w:p w:rsidR="00320144" w:rsidRPr="00320144" w:rsidRDefault="00320144" w:rsidP="00320144">
      <w:pPr>
        <w:spacing w:line="276" w:lineRule="auto"/>
        <w:ind w:firstLine="709"/>
        <w:jc w:val="both"/>
        <w:rPr>
          <w:rFonts w:eastAsia="Calibri"/>
          <w:szCs w:val="28"/>
          <w:lang w:eastAsia="en-US"/>
        </w:rPr>
      </w:pPr>
      <w:r w:rsidRPr="00320144">
        <w:rPr>
          <w:rFonts w:eastAsia="Calibri"/>
          <w:szCs w:val="28"/>
          <w:lang w:eastAsia="en-US"/>
        </w:rPr>
        <w:t>Соответственно:</w:t>
      </w:r>
    </w:p>
    <w:p w:rsidR="00320144" w:rsidRPr="00320144" w:rsidRDefault="00320144" w:rsidP="00320144">
      <w:pPr>
        <w:spacing w:line="276" w:lineRule="auto"/>
        <w:ind w:firstLine="709"/>
        <w:jc w:val="both"/>
        <w:rPr>
          <w:rFonts w:eastAsia="Calibri"/>
          <w:szCs w:val="28"/>
          <w:lang w:eastAsia="en-US"/>
        </w:rPr>
      </w:pPr>
      <w:r w:rsidRPr="00320144">
        <w:rPr>
          <w:rFonts w:eastAsia="Calibri"/>
          <w:szCs w:val="28"/>
          <w:lang w:eastAsia="en-US"/>
        </w:rPr>
        <w:t>Р = 11,113 тыс. руб.;</w:t>
      </w:r>
    </w:p>
    <w:p w:rsidR="00320144" w:rsidRPr="00320144" w:rsidRDefault="00320144" w:rsidP="00320144">
      <w:pPr>
        <w:spacing w:line="276" w:lineRule="auto"/>
        <w:ind w:firstLine="709"/>
        <w:jc w:val="both"/>
        <w:rPr>
          <w:rFonts w:eastAsia="Calibri"/>
          <w:szCs w:val="28"/>
          <w:lang w:eastAsia="en-US"/>
        </w:rPr>
      </w:pPr>
      <w:proofErr w:type="spellStart"/>
      <w:r w:rsidRPr="00320144">
        <w:rPr>
          <w:rFonts w:eastAsia="Calibri"/>
          <w:szCs w:val="28"/>
          <w:lang w:eastAsia="en-US"/>
        </w:rPr>
        <w:t>Ри</w:t>
      </w:r>
      <w:proofErr w:type="spellEnd"/>
      <w:r w:rsidRPr="00320144">
        <w:rPr>
          <w:rFonts w:eastAsia="Calibri"/>
          <w:szCs w:val="28"/>
          <w:lang w:eastAsia="en-US"/>
        </w:rPr>
        <w:t xml:space="preserve"> – не заявлены;</w:t>
      </w:r>
    </w:p>
    <w:p w:rsidR="00320144" w:rsidRPr="00320144" w:rsidRDefault="00320144" w:rsidP="00320144">
      <w:pPr>
        <w:spacing w:line="276" w:lineRule="auto"/>
        <w:ind w:firstLine="709"/>
        <w:jc w:val="both"/>
        <w:rPr>
          <w:rFonts w:eastAsia="Calibri"/>
          <w:szCs w:val="28"/>
          <w:lang w:eastAsia="en-US"/>
        </w:rPr>
      </w:pPr>
      <w:proofErr w:type="spellStart"/>
      <w:r w:rsidRPr="00320144">
        <w:rPr>
          <w:rFonts w:eastAsia="Calibri"/>
          <w:szCs w:val="28"/>
          <w:lang w:eastAsia="en-US"/>
        </w:rPr>
        <w:t>Ртп</w:t>
      </w:r>
      <w:proofErr w:type="spellEnd"/>
      <w:r w:rsidRPr="00320144">
        <w:rPr>
          <w:rFonts w:eastAsia="Calibri"/>
          <w:szCs w:val="28"/>
          <w:lang w:eastAsia="en-US"/>
        </w:rPr>
        <w:t xml:space="preserve"> = 11,113 тыс. руб.</w:t>
      </w:r>
    </w:p>
    <w:p w:rsidR="00320144" w:rsidRPr="00320144" w:rsidRDefault="00320144" w:rsidP="00320144">
      <w:pPr>
        <w:spacing w:line="276" w:lineRule="auto"/>
        <w:ind w:firstLine="709"/>
        <w:jc w:val="center"/>
        <w:rPr>
          <w:rFonts w:eastAsia="Calibri"/>
          <w:szCs w:val="28"/>
          <w:lang w:eastAsia="en-US"/>
        </w:rPr>
      </w:pPr>
    </w:p>
    <w:p w:rsidR="00320144" w:rsidRPr="00320144" w:rsidRDefault="00320144" w:rsidP="00320144">
      <w:pPr>
        <w:spacing w:line="276" w:lineRule="auto"/>
        <w:ind w:firstLine="709"/>
        <w:jc w:val="center"/>
        <w:rPr>
          <w:rFonts w:eastAsia="Calibri"/>
          <w:szCs w:val="28"/>
          <w:lang w:eastAsia="en-US"/>
        </w:rPr>
      </w:pPr>
      <w:r w:rsidRPr="00320144">
        <w:rPr>
          <w:rFonts w:eastAsia="Calibri"/>
          <w:szCs w:val="28"/>
          <w:lang w:eastAsia="en-US"/>
        </w:rPr>
        <w:t>ПТП=11,113 тыс. руб. + 11,113 тыс. руб. =22,226 тыс. руб.</w:t>
      </w:r>
    </w:p>
    <w:p w:rsidR="00320144" w:rsidRPr="00320144" w:rsidRDefault="00320144" w:rsidP="00320144">
      <w:pPr>
        <w:spacing w:line="276" w:lineRule="auto"/>
        <w:ind w:firstLine="709"/>
        <w:jc w:val="both"/>
        <w:rPr>
          <w:rFonts w:eastAsia="Calibri"/>
          <w:szCs w:val="28"/>
          <w:lang w:eastAsia="en-US"/>
        </w:rPr>
      </w:pPr>
    </w:p>
    <w:p w:rsidR="00320144" w:rsidRPr="00320144" w:rsidRDefault="00320144" w:rsidP="00320144">
      <w:pPr>
        <w:spacing w:line="276" w:lineRule="auto"/>
        <w:ind w:firstLine="709"/>
        <w:jc w:val="both"/>
        <w:rPr>
          <w:rFonts w:eastAsia="Calibri"/>
          <w:bCs/>
          <w:color w:val="000000"/>
          <w:szCs w:val="28"/>
          <w:lang w:eastAsia="en-US"/>
        </w:rPr>
      </w:pPr>
      <w:r w:rsidRPr="00320144">
        <w:rPr>
          <w:rFonts w:eastAsia="Calibri"/>
          <w:szCs w:val="28"/>
          <w:lang w:eastAsia="en-US"/>
        </w:rPr>
        <w:lastRenderedPageBreak/>
        <w:t xml:space="preserve">По итогам анализа представленных </w:t>
      </w:r>
      <w:r w:rsidRPr="00320144">
        <w:rPr>
          <w:szCs w:val="28"/>
        </w:rPr>
        <w:t>Обществом</w:t>
      </w:r>
      <w:r w:rsidRPr="00320144">
        <w:rPr>
          <w:rFonts w:eastAsia="Calibri"/>
          <w:bCs/>
          <w:color w:val="000000"/>
          <w:szCs w:val="28"/>
          <w:lang w:eastAsia="en-US"/>
        </w:rPr>
        <w:t xml:space="preserve"> предложений по установлению платы за технологическое присоединение экспертами предлагается утвердить:</w:t>
      </w:r>
    </w:p>
    <w:p w:rsidR="00320144" w:rsidRPr="00320144" w:rsidRDefault="00320144" w:rsidP="00320144">
      <w:pPr>
        <w:spacing w:line="276" w:lineRule="auto"/>
        <w:ind w:firstLine="709"/>
        <w:jc w:val="both"/>
        <w:rPr>
          <w:rFonts w:eastAsia="Calibri"/>
          <w:bCs/>
          <w:color w:val="000000"/>
          <w:szCs w:val="28"/>
          <w:lang w:eastAsia="en-US"/>
        </w:rPr>
      </w:pPr>
      <w:r w:rsidRPr="00320144">
        <w:rPr>
          <w:rFonts w:eastAsia="Calibri"/>
          <w:bCs/>
          <w:color w:val="000000"/>
          <w:szCs w:val="28"/>
          <w:lang w:eastAsia="en-US"/>
        </w:rPr>
        <w:t xml:space="preserve">- плату </w:t>
      </w:r>
      <w:r w:rsidRPr="00320144">
        <w:rPr>
          <w:szCs w:val="28"/>
        </w:rPr>
        <w:t>за технологическое присоединение к электрическим сетям платы за технологическое присоединение к электрическим сетям ОАО «РЖД» энергопринимающих устройств ООО «</w:t>
      </w:r>
      <w:proofErr w:type="spellStart"/>
      <w:r w:rsidRPr="00320144">
        <w:rPr>
          <w:szCs w:val="28"/>
        </w:rPr>
        <w:t>КЭнК</w:t>
      </w:r>
      <w:proofErr w:type="spellEnd"/>
      <w:r w:rsidRPr="00320144">
        <w:rPr>
          <w:szCs w:val="28"/>
        </w:rPr>
        <w:t xml:space="preserve">» (увеличение максимальной мощности на 2 211,8 кВт), ЛЭП-10 </w:t>
      </w:r>
      <w:proofErr w:type="spellStart"/>
      <w:r w:rsidRPr="00320144">
        <w:rPr>
          <w:szCs w:val="28"/>
        </w:rPr>
        <w:t>кВ</w:t>
      </w:r>
      <w:proofErr w:type="spellEnd"/>
      <w:r w:rsidRPr="00320144">
        <w:rPr>
          <w:szCs w:val="28"/>
        </w:rPr>
        <w:t xml:space="preserve"> Ф-9-10 РП-10/0,4 </w:t>
      </w:r>
      <w:proofErr w:type="spellStart"/>
      <w:r w:rsidRPr="00320144">
        <w:rPr>
          <w:szCs w:val="28"/>
        </w:rPr>
        <w:t>кВ</w:t>
      </w:r>
      <w:proofErr w:type="spellEnd"/>
      <w:r w:rsidRPr="00320144">
        <w:rPr>
          <w:szCs w:val="28"/>
        </w:rPr>
        <w:t xml:space="preserve"> (Кемеровская обл., г. Белово) по индивидуальному проекту</w:t>
      </w:r>
      <w:r w:rsidRPr="00320144">
        <w:rPr>
          <w:rFonts w:eastAsia="Calibri"/>
          <w:bCs/>
          <w:color w:val="000000"/>
          <w:szCs w:val="28"/>
          <w:lang w:eastAsia="en-US"/>
        </w:rPr>
        <w:t xml:space="preserve"> в размере 22,226 тыс. руб.</w:t>
      </w:r>
    </w:p>
    <w:p w:rsidR="00E051BD" w:rsidRDefault="00E051BD" w:rsidP="00E051BD">
      <w:pPr>
        <w:tabs>
          <w:tab w:val="left" w:pos="2520"/>
        </w:tabs>
        <w:rPr>
          <w:lang w:eastAsia="x-none"/>
        </w:rPr>
      </w:pPr>
    </w:p>
    <w:p w:rsidR="00320144" w:rsidRDefault="00320144" w:rsidP="00E051BD">
      <w:pPr>
        <w:tabs>
          <w:tab w:val="left" w:pos="2520"/>
        </w:tabs>
        <w:rPr>
          <w:lang w:eastAsia="x-none"/>
        </w:rPr>
      </w:pPr>
    </w:p>
    <w:p w:rsidR="00320144" w:rsidRDefault="00320144" w:rsidP="00E051BD">
      <w:pPr>
        <w:tabs>
          <w:tab w:val="left" w:pos="2520"/>
        </w:tabs>
        <w:rPr>
          <w:lang w:eastAsia="x-none"/>
        </w:rPr>
        <w:sectPr w:rsidR="00320144" w:rsidSect="00E051BD">
          <w:pgSz w:w="11906" w:h="16838"/>
          <w:pgMar w:top="1134" w:right="850" w:bottom="1134" w:left="1701" w:header="426" w:footer="709" w:gutter="0"/>
          <w:cols w:space="708"/>
          <w:docGrid w:linePitch="360"/>
        </w:sectPr>
      </w:pPr>
    </w:p>
    <w:p w:rsidR="00E051BD" w:rsidRDefault="00E051BD" w:rsidP="00E051BD">
      <w:pPr>
        <w:tabs>
          <w:tab w:val="left" w:pos="2520"/>
        </w:tabs>
        <w:ind w:left="5103"/>
        <w:rPr>
          <w:lang w:eastAsia="x-none"/>
        </w:rPr>
      </w:pPr>
      <w:r>
        <w:rPr>
          <w:lang w:eastAsia="x-none"/>
        </w:rPr>
        <w:lastRenderedPageBreak/>
        <w:t xml:space="preserve">Приложение № 2 к протоколу </w:t>
      </w:r>
    </w:p>
    <w:p w:rsidR="00E051BD" w:rsidRDefault="00E051BD" w:rsidP="00E051BD">
      <w:pPr>
        <w:tabs>
          <w:tab w:val="left" w:pos="2520"/>
        </w:tabs>
        <w:ind w:left="5103"/>
        <w:rPr>
          <w:lang w:eastAsia="x-none"/>
        </w:rPr>
      </w:pPr>
      <w:r>
        <w:rPr>
          <w:lang w:eastAsia="x-none"/>
        </w:rPr>
        <w:t xml:space="preserve">№ 16 заседания правления региональной </w:t>
      </w:r>
    </w:p>
    <w:p w:rsidR="00E051BD" w:rsidRDefault="00E051BD" w:rsidP="00E051BD">
      <w:pPr>
        <w:tabs>
          <w:tab w:val="left" w:pos="2520"/>
        </w:tabs>
        <w:ind w:left="5103"/>
        <w:rPr>
          <w:lang w:eastAsia="x-none"/>
        </w:rPr>
      </w:pPr>
      <w:r>
        <w:rPr>
          <w:lang w:eastAsia="x-none"/>
        </w:rPr>
        <w:t xml:space="preserve">энергетической комиссии Кемеровской </w:t>
      </w:r>
    </w:p>
    <w:p w:rsidR="00E051BD" w:rsidRDefault="00E051BD" w:rsidP="00E051BD">
      <w:pPr>
        <w:tabs>
          <w:tab w:val="left" w:pos="2520"/>
        </w:tabs>
        <w:ind w:left="5103"/>
        <w:rPr>
          <w:lang w:eastAsia="x-none"/>
        </w:rPr>
      </w:pPr>
      <w:r>
        <w:rPr>
          <w:lang w:eastAsia="x-none"/>
        </w:rPr>
        <w:t>области от 10.04.2018</w:t>
      </w:r>
    </w:p>
    <w:p w:rsidR="00E051BD" w:rsidRDefault="00E051BD" w:rsidP="00E051BD">
      <w:pPr>
        <w:tabs>
          <w:tab w:val="left" w:pos="2520"/>
        </w:tabs>
        <w:ind w:left="5103"/>
        <w:rPr>
          <w:lang w:eastAsia="x-none"/>
        </w:rPr>
      </w:pPr>
    </w:p>
    <w:p w:rsidR="00E051BD" w:rsidRDefault="00E051BD" w:rsidP="00E051BD">
      <w:pPr>
        <w:tabs>
          <w:tab w:val="left" w:pos="2520"/>
        </w:tabs>
        <w:ind w:left="5103"/>
        <w:rPr>
          <w:lang w:eastAsia="x-none"/>
        </w:rPr>
      </w:pPr>
    </w:p>
    <w:p w:rsidR="00E051BD" w:rsidRPr="00E051BD" w:rsidRDefault="00E051BD" w:rsidP="00E051BD">
      <w:pPr>
        <w:widowControl w:val="0"/>
        <w:snapToGrid w:val="0"/>
        <w:ind w:right="-142" w:firstLine="567"/>
        <w:jc w:val="center"/>
        <w:rPr>
          <w:b/>
          <w:sz w:val="28"/>
          <w:szCs w:val="20"/>
        </w:rPr>
      </w:pPr>
      <w:r w:rsidRPr="00E051BD">
        <w:rPr>
          <w:b/>
          <w:sz w:val="28"/>
          <w:szCs w:val="20"/>
        </w:rPr>
        <w:t>Плата за технологическое присоединение</w:t>
      </w:r>
    </w:p>
    <w:p w:rsidR="00E051BD" w:rsidRPr="00E051BD" w:rsidRDefault="00E051BD" w:rsidP="00E051BD">
      <w:pPr>
        <w:jc w:val="center"/>
        <w:rPr>
          <w:b/>
          <w:sz w:val="28"/>
          <w:szCs w:val="28"/>
        </w:rPr>
      </w:pPr>
      <w:r w:rsidRPr="00E051BD">
        <w:rPr>
          <w:b/>
          <w:sz w:val="28"/>
          <w:szCs w:val="28"/>
        </w:rPr>
        <w:t>к электрическим сетям ОАО «РЖД» энергопринимающих устройств</w:t>
      </w:r>
    </w:p>
    <w:p w:rsidR="00E051BD" w:rsidRPr="00E051BD" w:rsidRDefault="00E051BD" w:rsidP="00E051BD">
      <w:pPr>
        <w:jc w:val="center"/>
        <w:rPr>
          <w:b/>
          <w:sz w:val="28"/>
          <w:szCs w:val="28"/>
        </w:rPr>
      </w:pPr>
      <w:r w:rsidRPr="00E051BD">
        <w:rPr>
          <w:b/>
          <w:sz w:val="28"/>
          <w:szCs w:val="28"/>
        </w:rPr>
        <w:t>ООО «</w:t>
      </w:r>
      <w:proofErr w:type="spellStart"/>
      <w:r w:rsidRPr="00E051BD">
        <w:rPr>
          <w:b/>
          <w:sz w:val="28"/>
          <w:szCs w:val="28"/>
        </w:rPr>
        <w:t>КЭнК</w:t>
      </w:r>
      <w:proofErr w:type="spellEnd"/>
      <w:r w:rsidRPr="00E051BD">
        <w:rPr>
          <w:b/>
          <w:sz w:val="28"/>
          <w:szCs w:val="28"/>
        </w:rPr>
        <w:t xml:space="preserve">» ЛЭП-10 </w:t>
      </w:r>
      <w:proofErr w:type="spellStart"/>
      <w:r w:rsidRPr="00E051BD">
        <w:rPr>
          <w:b/>
          <w:sz w:val="28"/>
          <w:szCs w:val="28"/>
        </w:rPr>
        <w:t>кВ</w:t>
      </w:r>
      <w:proofErr w:type="spellEnd"/>
      <w:r w:rsidRPr="00E051BD">
        <w:rPr>
          <w:b/>
          <w:sz w:val="28"/>
          <w:szCs w:val="28"/>
        </w:rPr>
        <w:t xml:space="preserve"> Ф-9-10 РП-10/0,4 </w:t>
      </w:r>
      <w:proofErr w:type="spellStart"/>
      <w:r w:rsidRPr="00E051BD">
        <w:rPr>
          <w:b/>
          <w:sz w:val="28"/>
          <w:szCs w:val="28"/>
        </w:rPr>
        <w:t>кВ</w:t>
      </w:r>
      <w:proofErr w:type="spellEnd"/>
      <w:r w:rsidRPr="00E051BD">
        <w:rPr>
          <w:b/>
          <w:sz w:val="28"/>
          <w:szCs w:val="28"/>
        </w:rPr>
        <w:t xml:space="preserve"> </w:t>
      </w:r>
    </w:p>
    <w:p w:rsidR="00E051BD" w:rsidRPr="00E051BD" w:rsidRDefault="00E051BD" w:rsidP="00E051BD">
      <w:pPr>
        <w:jc w:val="center"/>
        <w:rPr>
          <w:b/>
          <w:sz w:val="28"/>
          <w:szCs w:val="28"/>
        </w:rPr>
      </w:pPr>
      <w:r w:rsidRPr="00E051BD">
        <w:rPr>
          <w:b/>
          <w:sz w:val="28"/>
          <w:szCs w:val="28"/>
        </w:rPr>
        <w:t xml:space="preserve">(Кемеровская обл., г. </w:t>
      </w:r>
      <w:proofErr w:type="gramStart"/>
      <w:r w:rsidRPr="00E051BD">
        <w:rPr>
          <w:b/>
          <w:sz w:val="28"/>
          <w:szCs w:val="28"/>
        </w:rPr>
        <w:t>Белово)  по</w:t>
      </w:r>
      <w:proofErr w:type="gramEnd"/>
      <w:r w:rsidRPr="00E051BD">
        <w:rPr>
          <w:b/>
          <w:sz w:val="28"/>
          <w:szCs w:val="28"/>
        </w:rPr>
        <w:t xml:space="preserve"> индивидуальному проекту</w:t>
      </w:r>
    </w:p>
    <w:p w:rsidR="00E051BD" w:rsidRPr="00E051BD" w:rsidRDefault="00E051BD" w:rsidP="00E051BD">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051BD" w:rsidRPr="00E051BD" w:rsidTr="00335630">
        <w:trPr>
          <w:trHeight w:val="625"/>
        </w:trPr>
        <w:tc>
          <w:tcPr>
            <w:tcW w:w="798" w:type="dxa"/>
            <w:shd w:val="clear" w:color="auto" w:fill="auto"/>
            <w:hideMark/>
          </w:tcPr>
          <w:p w:rsidR="00E051BD" w:rsidRPr="00E051BD" w:rsidRDefault="00E051BD" w:rsidP="00E051BD">
            <w:pPr>
              <w:widowControl w:val="0"/>
              <w:snapToGrid w:val="0"/>
              <w:jc w:val="center"/>
              <w:rPr>
                <w:b/>
              </w:rPr>
            </w:pPr>
          </w:p>
          <w:p w:rsidR="00E051BD" w:rsidRPr="00E051BD" w:rsidRDefault="00E051BD" w:rsidP="00E051BD">
            <w:pPr>
              <w:widowControl w:val="0"/>
              <w:snapToGrid w:val="0"/>
              <w:jc w:val="center"/>
              <w:rPr>
                <w:b/>
              </w:rPr>
            </w:pPr>
          </w:p>
          <w:p w:rsidR="00E051BD" w:rsidRPr="00E051BD" w:rsidRDefault="00E051BD" w:rsidP="00E051BD">
            <w:pPr>
              <w:widowControl w:val="0"/>
              <w:snapToGrid w:val="0"/>
              <w:jc w:val="center"/>
              <w:rPr>
                <w:b/>
              </w:rPr>
            </w:pPr>
            <w:r w:rsidRPr="00E051BD">
              <w:rPr>
                <w:b/>
              </w:rPr>
              <w:t>№</w:t>
            </w:r>
          </w:p>
          <w:p w:rsidR="00E051BD" w:rsidRPr="00E051BD" w:rsidRDefault="00E051BD" w:rsidP="00E051BD">
            <w:pPr>
              <w:widowControl w:val="0"/>
              <w:snapToGrid w:val="0"/>
              <w:jc w:val="center"/>
              <w:rPr>
                <w:b/>
              </w:rPr>
            </w:pPr>
            <w:r w:rsidRPr="00E051BD">
              <w:rPr>
                <w:b/>
              </w:rPr>
              <w:t>п/п</w:t>
            </w:r>
          </w:p>
        </w:tc>
        <w:tc>
          <w:tcPr>
            <w:tcW w:w="6516" w:type="dxa"/>
            <w:shd w:val="clear" w:color="auto" w:fill="auto"/>
            <w:noWrap/>
            <w:hideMark/>
          </w:tcPr>
          <w:p w:rsidR="00E051BD" w:rsidRPr="00E051BD" w:rsidRDefault="00E051BD" w:rsidP="00E051BD">
            <w:pPr>
              <w:widowControl w:val="0"/>
              <w:snapToGrid w:val="0"/>
              <w:ind w:left="200"/>
              <w:jc w:val="center"/>
              <w:rPr>
                <w:b/>
              </w:rPr>
            </w:pPr>
          </w:p>
          <w:p w:rsidR="00E051BD" w:rsidRPr="00E051BD" w:rsidRDefault="00E051BD" w:rsidP="00E051BD">
            <w:pPr>
              <w:widowControl w:val="0"/>
              <w:snapToGrid w:val="0"/>
              <w:ind w:left="200"/>
              <w:jc w:val="center"/>
              <w:rPr>
                <w:b/>
              </w:rPr>
            </w:pPr>
          </w:p>
          <w:p w:rsidR="00E051BD" w:rsidRPr="00E051BD" w:rsidRDefault="00E051BD" w:rsidP="00E051BD">
            <w:pPr>
              <w:widowControl w:val="0"/>
              <w:snapToGrid w:val="0"/>
              <w:ind w:left="200"/>
              <w:jc w:val="center"/>
              <w:rPr>
                <w:b/>
              </w:rPr>
            </w:pPr>
            <w:r w:rsidRPr="00E051BD">
              <w:rPr>
                <w:b/>
              </w:rPr>
              <w:t>Наименование мероприятий</w:t>
            </w:r>
          </w:p>
        </w:tc>
        <w:tc>
          <w:tcPr>
            <w:tcW w:w="2061" w:type="dxa"/>
            <w:shd w:val="clear" w:color="auto" w:fill="auto"/>
            <w:noWrap/>
            <w:hideMark/>
          </w:tcPr>
          <w:p w:rsidR="00E051BD" w:rsidRPr="00E051BD" w:rsidRDefault="00E051BD" w:rsidP="00E051BD">
            <w:pPr>
              <w:widowControl w:val="0"/>
              <w:snapToGrid w:val="0"/>
              <w:ind w:left="27"/>
              <w:jc w:val="center"/>
              <w:rPr>
                <w:b/>
              </w:rPr>
            </w:pPr>
            <w:r w:rsidRPr="00E051BD">
              <w:rPr>
                <w:b/>
              </w:rPr>
              <w:t xml:space="preserve">Плата за технологическое присоединение, тыс. руб. </w:t>
            </w:r>
          </w:p>
          <w:p w:rsidR="00E051BD" w:rsidRPr="00E051BD" w:rsidRDefault="00E051BD" w:rsidP="00E051BD">
            <w:pPr>
              <w:widowControl w:val="0"/>
              <w:snapToGrid w:val="0"/>
              <w:ind w:left="27"/>
              <w:jc w:val="center"/>
              <w:rPr>
                <w:b/>
              </w:rPr>
            </w:pPr>
            <w:r w:rsidRPr="00E051BD">
              <w:rPr>
                <w:b/>
              </w:rPr>
              <w:t>(без НДС)</w:t>
            </w:r>
          </w:p>
        </w:tc>
      </w:tr>
      <w:tr w:rsidR="00E051BD" w:rsidRPr="00E051BD" w:rsidTr="00335630">
        <w:trPr>
          <w:trHeight w:val="476"/>
        </w:trPr>
        <w:tc>
          <w:tcPr>
            <w:tcW w:w="798" w:type="dxa"/>
            <w:shd w:val="clear" w:color="auto" w:fill="auto"/>
            <w:noWrap/>
            <w:vAlign w:val="center"/>
            <w:hideMark/>
          </w:tcPr>
          <w:p w:rsidR="00E051BD" w:rsidRPr="00E051BD" w:rsidRDefault="00E051BD" w:rsidP="00E051BD">
            <w:pPr>
              <w:widowControl w:val="0"/>
              <w:snapToGrid w:val="0"/>
              <w:jc w:val="center"/>
            </w:pPr>
            <w:r w:rsidRPr="00E051BD">
              <w:t>1</w:t>
            </w:r>
          </w:p>
        </w:tc>
        <w:tc>
          <w:tcPr>
            <w:tcW w:w="6516" w:type="dxa"/>
            <w:shd w:val="clear" w:color="auto" w:fill="auto"/>
            <w:hideMark/>
          </w:tcPr>
          <w:p w:rsidR="00E051BD" w:rsidRPr="00E051BD" w:rsidRDefault="00E051BD" w:rsidP="00E051BD">
            <w:pPr>
              <w:widowControl w:val="0"/>
              <w:snapToGrid w:val="0"/>
              <w:ind w:left="50"/>
              <w:jc w:val="both"/>
            </w:pPr>
            <w:r w:rsidRPr="00E051BD">
              <w:t>Подготовка и выдача сетевой организацией технических условий Заявителю</w:t>
            </w:r>
          </w:p>
        </w:tc>
        <w:tc>
          <w:tcPr>
            <w:tcW w:w="2061" w:type="dxa"/>
            <w:shd w:val="clear" w:color="auto" w:fill="auto"/>
            <w:noWrap/>
            <w:vAlign w:val="center"/>
          </w:tcPr>
          <w:p w:rsidR="00E051BD" w:rsidRPr="00E051BD" w:rsidRDefault="00E051BD" w:rsidP="00E051BD">
            <w:pPr>
              <w:widowControl w:val="0"/>
              <w:snapToGrid w:val="0"/>
              <w:ind w:left="27"/>
              <w:jc w:val="center"/>
            </w:pPr>
            <w:r w:rsidRPr="00E051BD">
              <w:t>11,113</w:t>
            </w:r>
          </w:p>
        </w:tc>
      </w:tr>
      <w:tr w:rsidR="00E051BD" w:rsidRPr="00E051BD" w:rsidTr="00335630">
        <w:trPr>
          <w:trHeight w:val="54"/>
        </w:trPr>
        <w:tc>
          <w:tcPr>
            <w:tcW w:w="798" w:type="dxa"/>
            <w:shd w:val="clear" w:color="auto" w:fill="auto"/>
            <w:noWrap/>
            <w:vAlign w:val="center"/>
            <w:hideMark/>
          </w:tcPr>
          <w:p w:rsidR="00E051BD" w:rsidRPr="00E051BD" w:rsidRDefault="00E051BD" w:rsidP="00E051BD">
            <w:pPr>
              <w:widowControl w:val="0"/>
              <w:snapToGrid w:val="0"/>
              <w:jc w:val="center"/>
            </w:pPr>
            <w:r w:rsidRPr="00E051BD">
              <w:t>2</w:t>
            </w:r>
          </w:p>
        </w:tc>
        <w:tc>
          <w:tcPr>
            <w:tcW w:w="6516" w:type="dxa"/>
            <w:shd w:val="clear" w:color="auto" w:fill="auto"/>
            <w:hideMark/>
          </w:tcPr>
          <w:p w:rsidR="00E051BD" w:rsidRPr="00E051BD" w:rsidRDefault="00E051BD" w:rsidP="00E051BD">
            <w:pPr>
              <w:widowControl w:val="0"/>
              <w:snapToGrid w:val="0"/>
              <w:ind w:left="50"/>
              <w:jc w:val="both"/>
            </w:pPr>
            <w:r w:rsidRPr="00E051BD">
              <w:t>Выполнение технических условий сетевой организацией, включая разработку сетевой организацией проектной документации в том числе:</w:t>
            </w:r>
          </w:p>
        </w:tc>
        <w:tc>
          <w:tcPr>
            <w:tcW w:w="2061" w:type="dxa"/>
            <w:shd w:val="clear" w:color="auto" w:fill="auto"/>
            <w:noWrap/>
            <w:vAlign w:val="center"/>
          </w:tcPr>
          <w:p w:rsidR="00E051BD" w:rsidRPr="00E051BD" w:rsidRDefault="00E051BD" w:rsidP="00E051BD">
            <w:pPr>
              <w:widowControl w:val="0"/>
              <w:snapToGrid w:val="0"/>
              <w:ind w:left="27"/>
              <w:jc w:val="center"/>
            </w:pPr>
            <w:r w:rsidRPr="00E051BD">
              <w:t>11,113</w:t>
            </w:r>
          </w:p>
        </w:tc>
      </w:tr>
      <w:tr w:rsidR="00E051BD" w:rsidRPr="00E051BD" w:rsidTr="00335630">
        <w:trPr>
          <w:trHeight w:val="54"/>
        </w:trPr>
        <w:tc>
          <w:tcPr>
            <w:tcW w:w="798" w:type="dxa"/>
            <w:shd w:val="clear" w:color="auto" w:fill="auto"/>
            <w:noWrap/>
            <w:vAlign w:val="center"/>
          </w:tcPr>
          <w:p w:rsidR="00E051BD" w:rsidRPr="00E051BD" w:rsidRDefault="00E051BD" w:rsidP="00E051BD">
            <w:pPr>
              <w:widowControl w:val="0"/>
              <w:snapToGrid w:val="0"/>
              <w:jc w:val="center"/>
            </w:pPr>
            <w:r w:rsidRPr="00E051BD">
              <w:t>2.1</w:t>
            </w:r>
          </w:p>
        </w:tc>
        <w:tc>
          <w:tcPr>
            <w:tcW w:w="6516" w:type="dxa"/>
            <w:shd w:val="clear" w:color="auto" w:fill="auto"/>
          </w:tcPr>
          <w:p w:rsidR="00E051BD" w:rsidRPr="00E051BD" w:rsidRDefault="00E051BD" w:rsidP="00E051BD">
            <w:pPr>
              <w:widowControl w:val="0"/>
              <w:snapToGrid w:val="0"/>
              <w:ind w:left="50"/>
              <w:jc w:val="both"/>
            </w:pPr>
            <w:r w:rsidRPr="00E051BD">
              <w:t xml:space="preserve">расходы на выполнение мероприятий «последней мили» </w:t>
            </w:r>
          </w:p>
        </w:tc>
        <w:tc>
          <w:tcPr>
            <w:tcW w:w="2061" w:type="dxa"/>
            <w:shd w:val="clear" w:color="auto" w:fill="auto"/>
            <w:noWrap/>
            <w:vAlign w:val="center"/>
          </w:tcPr>
          <w:p w:rsidR="00E051BD" w:rsidRPr="00E051BD" w:rsidRDefault="00E051BD" w:rsidP="00E051BD">
            <w:pPr>
              <w:widowControl w:val="0"/>
              <w:snapToGrid w:val="0"/>
              <w:ind w:left="27"/>
              <w:jc w:val="center"/>
            </w:pPr>
            <w:r w:rsidRPr="00E051BD">
              <w:t>0,00</w:t>
            </w:r>
          </w:p>
        </w:tc>
      </w:tr>
      <w:tr w:rsidR="00E051BD" w:rsidRPr="00E051BD" w:rsidTr="00335630">
        <w:trPr>
          <w:trHeight w:val="54"/>
        </w:trPr>
        <w:tc>
          <w:tcPr>
            <w:tcW w:w="798" w:type="dxa"/>
            <w:shd w:val="clear" w:color="auto" w:fill="auto"/>
            <w:noWrap/>
            <w:vAlign w:val="center"/>
          </w:tcPr>
          <w:p w:rsidR="00E051BD" w:rsidRPr="00E051BD" w:rsidRDefault="00E051BD" w:rsidP="00E051BD">
            <w:pPr>
              <w:widowControl w:val="0"/>
              <w:snapToGrid w:val="0"/>
              <w:jc w:val="center"/>
            </w:pPr>
            <w:r w:rsidRPr="00E051BD">
              <w:t>2.2</w:t>
            </w:r>
          </w:p>
        </w:tc>
        <w:tc>
          <w:tcPr>
            <w:tcW w:w="6516" w:type="dxa"/>
            <w:shd w:val="clear" w:color="auto" w:fill="auto"/>
          </w:tcPr>
          <w:p w:rsidR="00E051BD" w:rsidRPr="00E051BD" w:rsidRDefault="00E051BD" w:rsidP="00E051BD">
            <w:pPr>
              <w:widowControl w:val="0"/>
              <w:snapToGrid w:val="0"/>
              <w:ind w:left="50"/>
              <w:jc w:val="both"/>
            </w:pPr>
            <w:r w:rsidRPr="00E051BD">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E051BD" w:rsidRPr="00E051BD" w:rsidRDefault="00E051BD" w:rsidP="00E051BD">
            <w:pPr>
              <w:widowControl w:val="0"/>
              <w:snapToGrid w:val="0"/>
              <w:ind w:left="27"/>
              <w:jc w:val="center"/>
            </w:pPr>
            <w:r w:rsidRPr="00E051BD">
              <w:t>11,113</w:t>
            </w:r>
          </w:p>
        </w:tc>
      </w:tr>
      <w:tr w:rsidR="00E051BD" w:rsidRPr="00E051BD" w:rsidTr="00335630">
        <w:trPr>
          <w:trHeight w:val="284"/>
        </w:trPr>
        <w:tc>
          <w:tcPr>
            <w:tcW w:w="798" w:type="dxa"/>
            <w:shd w:val="clear" w:color="auto" w:fill="auto"/>
            <w:noWrap/>
            <w:vAlign w:val="center"/>
            <w:hideMark/>
          </w:tcPr>
          <w:p w:rsidR="00E051BD" w:rsidRPr="00E051BD" w:rsidRDefault="00E051BD" w:rsidP="00E051BD">
            <w:pPr>
              <w:widowControl w:val="0"/>
              <w:snapToGrid w:val="0"/>
              <w:jc w:val="center"/>
            </w:pPr>
            <w:r w:rsidRPr="00E051BD">
              <w:t>3</w:t>
            </w:r>
          </w:p>
        </w:tc>
        <w:tc>
          <w:tcPr>
            <w:tcW w:w="6516" w:type="dxa"/>
            <w:shd w:val="clear" w:color="auto" w:fill="auto"/>
            <w:hideMark/>
          </w:tcPr>
          <w:p w:rsidR="00E051BD" w:rsidRPr="00E051BD" w:rsidRDefault="00E051BD" w:rsidP="00E051BD">
            <w:pPr>
              <w:widowControl w:val="0"/>
              <w:snapToGrid w:val="0"/>
              <w:ind w:left="50"/>
              <w:jc w:val="both"/>
            </w:pPr>
            <w:r w:rsidRPr="00E051BD">
              <w:t>Проверка сетевой организацией выполнения Заявителем технических условий</w:t>
            </w:r>
          </w:p>
        </w:tc>
        <w:tc>
          <w:tcPr>
            <w:tcW w:w="2061" w:type="dxa"/>
            <w:shd w:val="clear" w:color="auto" w:fill="auto"/>
            <w:noWrap/>
            <w:vAlign w:val="center"/>
          </w:tcPr>
          <w:p w:rsidR="00E051BD" w:rsidRPr="00E051BD" w:rsidRDefault="00E051BD" w:rsidP="00E051BD">
            <w:pPr>
              <w:widowControl w:val="0"/>
              <w:snapToGrid w:val="0"/>
              <w:ind w:left="27"/>
              <w:jc w:val="center"/>
            </w:pPr>
            <w:r w:rsidRPr="00E051BD">
              <w:t>0,00</w:t>
            </w:r>
          </w:p>
        </w:tc>
      </w:tr>
      <w:tr w:rsidR="00E051BD" w:rsidRPr="00E051BD" w:rsidTr="00335630">
        <w:trPr>
          <w:trHeight w:val="230"/>
        </w:trPr>
        <w:tc>
          <w:tcPr>
            <w:tcW w:w="798" w:type="dxa"/>
            <w:shd w:val="clear" w:color="auto" w:fill="auto"/>
            <w:noWrap/>
          </w:tcPr>
          <w:p w:rsidR="00E051BD" w:rsidRPr="00E051BD" w:rsidRDefault="00E051BD" w:rsidP="00E051BD">
            <w:pPr>
              <w:widowControl w:val="0"/>
              <w:snapToGrid w:val="0"/>
              <w:jc w:val="both"/>
            </w:pPr>
          </w:p>
        </w:tc>
        <w:tc>
          <w:tcPr>
            <w:tcW w:w="6516" w:type="dxa"/>
            <w:shd w:val="clear" w:color="auto" w:fill="auto"/>
          </w:tcPr>
          <w:p w:rsidR="00E051BD" w:rsidRPr="00E051BD" w:rsidRDefault="00E051BD" w:rsidP="00E051BD">
            <w:pPr>
              <w:widowControl w:val="0"/>
              <w:snapToGrid w:val="0"/>
              <w:ind w:left="50"/>
              <w:jc w:val="both"/>
            </w:pPr>
            <w:r w:rsidRPr="00E051BD">
              <w:t>ИТОГО плата за технологическое присоединение</w:t>
            </w:r>
          </w:p>
        </w:tc>
        <w:tc>
          <w:tcPr>
            <w:tcW w:w="2061" w:type="dxa"/>
            <w:shd w:val="clear" w:color="auto" w:fill="auto"/>
            <w:noWrap/>
            <w:vAlign w:val="center"/>
          </w:tcPr>
          <w:p w:rsidR="00E051BD" w:rsidRPr="00E051BD" w:rsidRDefault="00E051BD" w:rsidP="00E051BD">
            <w:pPr>
              <w:widowControl w:val="0"/>
              <w:snapToGrid w:val="0"/>
              <w:ind w:left="27"/>
              <w:jc w:val="center"/>
              <w:rPr>
                <w:lang w:val="en-US"/>
              </w:rPr>
            </w:pPr>
            <w:r w:rsidRPr="00E051BD">
              <w:t>22,226</w:t>
            </w:r>
          </w:p>
        </w:tc>
      </w:tr>
    </w:tbl>
    <w:p w:rsidR="00E051BD" w:rsidRPr="00E051BD" w:rsidRDefault="00E051BD" w:rsidP="00E051BD">
      <w:pPr>
        <w:widowControl w:val="0"/>
        <w:snapToGrid w:val="0"/>
        <w:jc w:val="both"/>
        <w:rPr>
          <w:b/>
          <w:u w:val="single"/>
        </w:rPr>
      </w:pPr>
    </w:p>
    <w:p w:rsidR="00E051BD" w:rsidRPr="00E051BD" w:rsidRDefault="00E051BD" w:rsidP="00E051BD">
      <w:pPr>
        <w:widowControl w:val="0"/>
        <w:snapToGrid w:val="0"/>
        <w:ind w:firstLine="708"/>
        <w:jc w:val="both"/>
        <w:rPr>
          <w:sz w:val="28"/>
          <w:szCs w:val="28"/>
        </w:rPr>
      </w:pPr>
      <w:r w:rsidRPr="00E051BD">
        <w:rPr>
          <w:sz w:val="28"/>
          <w:szCs w:val="28"/>
        </w:rPr>
        <w:t>Примечание:</w:t>
      </w:r>
    </w:p>
    <w:p w:rsidR="00E051BD" w:rsidRPr="00E051BD" w:rsidRDefault="00E051BD" w:rsidP="00E051BD">
      <w:pPr>
        <w:widowControl w:val="0"/>
        <w:snapToGrid w:val="0"/>
        <w:ind w:firstLine="708"/>
        <w:jc w:val="both"/>
        <w:rPr>
          <w:sz w:val="28"/>
          <w:szCs w:val="28"/>
        </w:rPr>
      </w:pPr>
      <w:r w:rsidRPr="00E051BD">
        <w:rPr>
          <w:sz w:val="28"/>
          <w:szCs w:val="28"/>
        </w:rPr>
        <w:t>Плата за технологическое присоединение рассчитана исходя из присоединяемой мощности 2 211,8 кВт.</w:t>
      </w:r>
    </w:p>
    <w:p w:rsidR="00364A96" w:rsidRDefault="00364A96" w:rsidP="00E051BD">
      <w:pPr>
        <w:tabs>
          <w:tab w:val="left" w:pos="2520"/>
        </w:tabs>
        <w:rPr>
          <w:lang w:eastAsia="x-none"/>
        </w:rPr>
        <w:sectPr w:rsidR="00364A96" w:rsidSect="00E051BD">
          <w:pgSz w:w="11906" w:h="16838"/>
          <w:pgMar w:top="1134" w:right="850" w:bottom="1134" w:left="1701" w:header="426" w:footer="709" w:gutter="0"/>
          <w:cols w:space="708"/>
          <w:docGrid w:linePitch="360"/>
        </w:sectPr>
      </w:pPr>
    </w:p>
    <w:p w:rsidR="00364A96" w:rsidRDefault="00364A96" w:rsidP="00364A96">
      <w:pPr>
        <w:tabs>
          <w:tab w:val="left" w:pos="2520"/>
        </w:tabs>
        <w:ind w:left="5103"/>
        <w:rPr>
          <w:lang w:eastAsia="x-none"/>
        </w:rPr>
      </w:pPr>
      <w:r>
        <w:rPr>
          <w:lang w:eastAsia="x-none"/>
        </w:rPr>
        <w:lastRenderedPageBreak/>
        <w:t xml:space="preserve">Приложение № 3 к протоколу </w:t>
      </w:r>
    </w:p>
    <w:p w:rsidR="00364A96" w:rsidRDefault="00364A96" w:rsidP="00364A96">
      <w:pPr>
        <w:tabs>
          <w:tab w:val="left" w:pos="2520"/>
        </w:tabs>
        <w:ind w:left="5103"/>
        <w:rPr>
          <w:lang w:eastAsia="x-none"/>
        </w:rPr>
      </w:pPr>
      <w:r>
        <w:rPr>
          <w:lang w:eastAsia="x-none"/>
        </w:rPr>
        <w:t xml:space="preserve">№ 16 заседания правления региональной </w:t>
      </w:r>
    </w:p>
    <w:p w:rsidR="00364A96" w:rsidRDefault="00364A96" w:rsidP="00364A96">
      <w:pPr>
        <w:tabs>
          <w:tab w:val="left" w:pos="2520"/>
        </w:tabs>
        <w:ind w:left="5103"/>
        <w:rPr>
          <w:lang w:eastAsia="x-none"/>
        </w:rPr>
      </w:pPr>
      <w:r>
        <w:rPr>
          <w:lang w:eastAsia="x-none"/>
        </w:rPr>
        <w:t xml:space="preserve">энергетической комиссии Кемеровской </w:t>
      </w:r>
    </w:p>
    <w:p w:rsidR="00364A96" w:rsidRDefault="00364A96" w:rsidP="00364A96">
      <w:pPr>
        <w:tabs>
          <w:tab w:val="left" w:pos="2520"/>
        </w:tabs>
        <w:ind w:left="5103"/>
        <w:rPr>
          <w:lang w:eastAsia="x-none"/>
        </w:rPr>
      </w:pPr>
      <w:r>
        <w:rPr>
          <w:lang w:eastAsia="x-none"/>
        </w:rPr>
        <w:t>области от 10.04.2018</w:t>
      </w:r>
    </w:p>
    <w:p w:rsidR="00382C79" w:rsidRDefault="00382C79" w:rsidP="00364A96">
      <w:pPr>
        <w:tabs>
          <w:tab w:val="left" w:pos="2520"/>
        </w:tabs>
        <w:ind w:left="5103"/>
        <w:rPr>
          <w:lang w:eastAsia="x-none"/>
        </w:rPr>
      </w:pPr>
    </w:p>
    <w:p w:rsidR="00382C79" w:rsidRDefault="00382C79" w:rsidP="00364A96">
      <w:pPr>
        <w:tabs>
          <w:tab w:val="left" w:pos="2520"/>
        </w:tabs>
        <w:ind w:left="5103"/>
        <w:rPr>
          <w:lang w:eastAsia="x-none"/>
        </w:rPr>
      </w:pPr>
    </w:p>
    <w:p w:rsidR="00382C79" w:rsidRPr="00382C79" w:rsidRDefault="00382C79" w:rsidP="00382C79">
      <w:pPr>
        <w:ind w:firstLine="885"/>
        <w:jc w:val="center"/>
        <w:rPr>
          <w:b/>
          <w:bCs/>
          <w:sz w:val="28"/>
          <w:szCs w:val="28"/>
        </w:rPr>
      </w:pPr>
      <w:r w:rsidRPr="00382C79">
        <w:rPr>
          <w:b/>
          <w:bCs/>
          <w:sz w:val="28"/>
          <w:szCs w:val="28"/>
        </w:rPr>
        <w:t>Долгосрочные параметры регулирования АО «</w:t>
      </w:r>
      <w:proofErr w:type="spellStart"/>
      <w:r w:rsidRPr="00382C79">
        <w:rPr>
          <w:b/>
          <w:bCs/>
          <w:sz w:val="28"/>
          <w:szCs w:val="28"/>
        </w:rPr>
        <w:t>Теплоэнерго</w:t>
      </w:r>
      <w:proofErr w:type="spellEnd"/>
      <w:r w:rsidRPr="00382C79">
        <w:rPr>
          <w:b/>
          <w:bCs/>
          <w:sz w:val="28"/>
          <w:szCs w:val="28"/>
        </w:rPr>
        <w:t xml:space="preserve">» </w:t>
      </w:r>
    </w:p>
    <w:p w:rsidR="00382C79" w:rsidRPr="00382C79" w:rsidRDefault="00382C79" w:rsidP="00382C79">
      <w:pPr>
        <w:ind w:firstLine="885"/>
        <w:jc w:val="center"/>
        <w:rPr>
          <w:b/>
          <w:bCs/>
          <w:sz w:val="28"/>
          <w:szCs w:val="28"/>
        </w:rPr>
      </w:pPr>
      <w:r w:rsidRPr="00382C79">
        <w:rPr>
          <w:b/>
          <w:bCs/>
          <w:sz w:val="28"/>
          <w:szCs w:val="28"/>
        </w:rPr>
        <w:t xml:space="preserve">(г. Кемерово) для формирования долгосрочных тарифов на </w:t>
      </w:r>
      <w:r>
        <w:rPr>
          <w:b/>
          <w:bCs/>
          <w:sz w:val="28"/>
          <w:szCs w:val="28"/>
        </w:rPr>
        <w:t>т</w:t>
      </w:r>
      <w:r w:rsidRPr="00382C79">
        <w:rPr>
          <w:b/>
          <w:bCs/>
          <w:sz w:val="28"/>
          <w:szCs w:val="28"/>
        </w:rPr>
        <w:t xml:space="preserve">епловую </w:t>
      </w:r>
    </w:p>
    <w:p w:rsidR="00382C79" w:rsidRPr="00382C79" w:rsidRDefault="00382C79" w:rsidP="00382C79">
      <w:pPr>
        <w:ind w:left="175" w:firstLine="709"/>
        <w:jc w:val="center"/>
        <w:rPr>
          <w:b/>
          <w:bCs/>
          <w:sz w:val="28"/>
          <w:szCs w:val="28"/>
        </w:rPr>
      </w:pPr>
      <w:r w:rsidRPr="00382C79">
        <w:rPr>
          <w:b/>
          <w:bCs/>
          <w:sz w:val="28"/>
          <w:szCs w:val="28"/>
        </w:rPr>
        <w:t>энергию, реализуемую на потребительском рынке</w:t>
      </w:r>
      <w:r w:rsidRPr="00382C79">
        <w:rPr>
          <w:b/>
          <w:bCs/>
          <w:color w:val="000000"/>
          <w:kern w:val="32"/>
          <w:sz w:val="28"/>
          <w:szCs w:val="28"/>
          <w:lang w:eastAsia="en-US"/>
        </w:rPr>
        <w:t xml:space="preserve"> </w:t>
      </w:r>
      <w:r w:rsidRPr="00382C79">
        <w:rPr>
          <w:b/>
          <w:bCs/>
          <w:sz w:val="28"/>
          <w:szCs w:val="28"/>
        </w:rPr>
        <w:t>г. Кемерово,</w:t>
      </w:r>
    </w:p>
    <w:p w:rsidR="00382C79" w:rsidRPr="00382C79" w:rsidRDefault="00382C79" w:rsidP="00382C79">
      <w:pPr>
        <w:ind w:left="175" w:firstLine="709"/>
        <w:jc w:val="center"/>
        <w:rPr>
          <w:b/>
          <w:bCs/>
          <w:sz w:val="28"/>
          <w:szCs w:val="28"/>
        </w:rPr>
      </w:pPr>
      <w:r w:rsidRPr="00382C79">
        <w:rPr>
          <w:b/>
          <w:bCs/>
          <w:sz w:val="28"/>
          <w:szCs w:val="28"/>
        </w:rPr>
        <w:t xml:space="preserve"> на период с 01.01.2016 по 31.12.2018</w:t>
      </w:r>
    </w:p>
    <w:p w:rsidR="00382C79" w:rsidRPr="00382C79" w:rsidRDefault="00382C79" w:rsidP="00382C79">
      <w:pPr>
        <w:jc w:val="center"/>
        <w:rPr>
          <w:b/>
          <w:bCs/>
          <w:sz w:val="28"/>
          <w:szCs w:val="28"/>
        </w:rPr>
      </w:pPr>
    </w:p>
    <w:tbl>
      <w:tblPr>
        <w:tblStyle w:val="a5"/>
        <w:tblW w:w="10785" w:type="dxa"/>
        <w:tblInd w:w="-998" w:type="dxa"/>
        <w:tblLayout w:type="fixed"/>
        <w:tblLook w:val="04A0" w:firstRow="1" w:lastRow="0" w:firstColumn="1" w:lastColumn="0" w:noHBand="0" w:noVBand="1"/>
      </w:tblPr>
      <w:tblGrid>
        <w:gridCol w:w="1703"/>
        <w:gridCol w:w="709"/>
        <w:gridCol w:w="1276"/>
        <w:gridCol w:w="992"/>
        <w:gridCol w:w="992"/>
        <w:gridCol w:w="992"/>
        <w:gridCol w:w="1444"/>
        <w:gridCol w:w="1610"/>
        <w:gridCol w:w="1067"/>
      </w:tblGrid>
      <w:tr w:rsidR="00382C79" w:rsidRPr="00382C79" w:rsidTr="00382C79">
        <w:trPr>
          <w:trHeight w:val="1719"/>
        </w:trPr>
        <w:tc>
          <w:tcPr>
            <w:tcW w:w="1703"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88" w:right="-171"/>
              <w:jc w:val="center"/>
            </w:pPr>
            <w:r w:rsidRPr="00382C79">
              <w:rPr>
                <w:rFonts w:eastAsia="Calibri"/>
              </w:rPr>
              <w:t>Наименование регулируемой организации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91" w:right="-108" w:hanging="91"/>
              <w:jc w:val="center"/>
              <w:rPr>
                <w:rFonts w:eastAsia="Calibri"/>
              </w:rPr>
            </w:pPr>
            <w:r w:rsidRPr="00382C79">
              <w:rPr>
                <w:rFonts w:eastAsia="Calibri"/>
              </w:rPr>
              <w:t>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Базовый</w:t>
            </w:r>
          </w:p>
          <w:p w:rsidR="00382C79" w:rsidRPr="00382C79" w:rsidRDefault="00382C79" w:rsidP="00382C79">
            <w:pPr>
              <w:ind w:left="-108" w:right="-108"/>
              <w:jc w:val="center"/>
              <w:rPr>
                <w:rFonts w:eastAsia="Calibri"/>
              </w:rPr>
            </w:pPr>
            <w:r w:rsidRPr="00382C79">
              <w:rPr>
                <w:rFonts w:eastAsia="Calibri"/>
              </w:rPr>
              <w:t xml:space="preserve">уровень </w:t>
            </w:r>
            <w:proofErr w:type="spellStart"/>
            <w:proofErr w:type="gramStart"/>
            <w:r w:rsidRPr="00382C79">
              <w:rPr>
                <w:rFonts w:eastAsia="Calibri"/>
              </w:rPr>
              <w:t>операци-онных</w:t>
            </w:r>
            <w:proofErr w:type="spellEnd"/>
            <w:proofErr w:type="gramEnd"/>
            <w:r w:rsidRPr="00382C79">
              <w:rPr>
                <w:rFonts w:eastAsia="Calibri"/>
              </w:rPr>
              <w:t xml:space="preserve"> расходов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08"/>
              <w:jc w:val="center"/>
              <w:rPr>
                <w:rFonts w:eastAsia="Calibri"/>
              </w:rPr>
            </w:pPr>
            <w:r w:rsidRPr="00382C79">
              <w:rPr>
                <w:rFonts w:eastAsia="Calibri"/>
              </w:rPr>
              <w:t xml:space="preserve">Индекс </w:t>
            </w:r>
            <w:proofErr w:type="spellStart"/>
            <w:r w:rsidRPr="00382C79">
              <w:rPr>
                <w:rFonts w:eastAsia="Calibri"/>
              </w:rPr>
              <w:t>эффек-тив-ности</w:t>
            </w:r>
            <w:proofErr w:type="spellEnd"/>
            <w:r w:rsidRPr="00382C79">
              <w:rPr>
                <w:rFonts w:eastAsia="Calibri"/>
              </w:rPr>
              <w:t xml:space="preserve"> опера-</w:t>
            </w:r>
            <w:proofErr w:type="spellStart"/>
            <w:r w:rsidRPr="00382C79">
              <w:rPr>
                <w:rFonts w:eastAsia="Calibri"/>
              </w:rPr>
              <w:t>цион</w:t>
            </w:r>
            <w:proofErr w:type="spellEnd"/>
            <w:r w:rsidRPr="00382C79">
              <w:rPr>
                <w:rFonts w:eastAsia="Calibri"/>
              </w:rPr>
              <w:t>-</w:t>
            </w:r>
            <w:proofErr w:type="spellStart"/>
            <w:r w:rsidRPr="00382C79">
              <w:rPr>
                <w:rFonts w:eastAsia="Calibri"/>
              </w:rPr>
              <w:t>ных</w:t>
            </w:r>
            <w:proofErr w:type="spellEnd"/>
            <w:r w:rsidRPr="00382C79">
              <w:rPr>
                <w:rFonts w:eastAsia="Calibri"/>
              </w:rPr>
              <w:t xml:space="preserve"> </w:t>
            </w:r>
            <w:proofErr w:type="spellStart"/>
            <w:proofErr w:type="gramStart"/>
            <w:r w:rsidRPr="00382C79">
              <w:rPr>
                <w:rFonts w:eastAsia="Calibri"/>
              </w:rPr>
              <w:t>расхо-дов</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58"/>
              <w:jc w:val="center"/>
              <w:rPr>
                <w:rFonts w:eastAsia="Calibri"/>
              </w:rPr>
            </w:pPr>
            <w:proofErr w:type="gramStart"/>
            <w:r w:rsidRPr="00382C79">
              <w:rPr>
                <w:rFonts w:eastAsia="Calibri"/>
              </w:rPr>
              <w:t>Норма-</w:t>
            </w:r>
            <w:proofErr w:type="spellStart"/>
            <w:r w:rsidRPr="00382C79">
              <w:rPr>
                <w:rFonts w:eastAsia="Calibri"/>
              </w:rPr>
              <w:t>тивный</w:t>
            </w:r>
            <w:proofErr w:type="spellEnd"/>
            <w:proofErr w:type="gramEnd"/>
            <w:r w:rsidRPr="00382C79">
              <w:rPr>
                <w:rFonts w:eastAsia="Calibri"/>
              </w:rPr>
              <w:t xml:space="preserve"> уровень прибыли</w:t>
            </w:r>
          </w:p>
        </w:tc>
        <w:tc>
          <w:tcPr>
            <w:tcW w:w="992"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79" w:right="-108"/>
              <w:jc w:val="center"/>
              <w:rPr>
                <w:rFonts w:eastAsia="Calibri"/>
              </w:rPr>
            </w:pPr>
            <w:r w:rsidRPr="00382C79">
              <w:rPr>
                <w:rFonts w:eastAsia="Calibri"/>
              </w:rPr>
              <w:t xml:space="preserve">Уровень </w:t>
            </w:r>
            <w:proofErr w:type="gramStart"/>
            <w:r w:rsidRPr="00382C79">
              <w:rPr>
                <w:rFonts w:eastAsia="Calibri"/>
              </w:rPr>
              <w:t>надеж-</w:t>
            </w:r>
            <w:proofErr w:type="spellStart"/>
            <w:r w:rsidRPr="00382C79">
              <w:rPr>
                <w:rFonts w:eastAsia="Calibri"/>
              </w:rPr>
              <w:t>ности</w:t>
            </w:r>
            <w:proofErr w:type="spellEnd"/>
            <w:proofErr w:type="gramEnd"/>
            <w:r w:rsidRPr="00382C79">
              <w:rPr>
                <w:rFonts w:eastAsia="Calibri"/>
              </w:rPr>
              <w:t xml:space="preserve"> тепло-</w:t>
            </w:r>
            <w:proofErr w:type="spellStart"/>
            <w:r w:rsidRPr="00382C79">
              <w:rPr>
                <w:rFonts w:eastAsia="Calibri"/>
              </w:rPr>
              <w:t>снаб</w:t>
            </w:r>
            <w:proofErr w:type="spellEnd"/>
            <w:r w:rsidRPr="00382C79">
              <w:rPr>
                <w:rFonts w:eastAsia="Calibri"/>
              </w:rPr>
              <w:t>-</w:t>
            </w:r>
            <w:proofErr w:type="spellStart"/>
            <w:r w:rsidRPr="00382C79">
              <w:rPr>
                <w:rFonts w:eastAsia="Calibri"/>
              </w:rPr>
              <w:t>жения</w:t>
            </w:r>
            <w:proofErr w:type="spellEnd"/>
          </w:p>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 xml:space="preserve">Показатели </w:t>
            </w:r>
            <w:proofErr w:type="spellStart"/>
            <w:proofErr w:type="gramStart"/>
            <w:r w:rsidRPr="00382C79">
              <w:rPr>
                <w:rFonts w:eastAsia="Calibri"/>
              </w:rPr>
              <w:t>энергосбе-режения</w:t>
            </w:r>
            <w:proofErr w:type="spellEnd"/>
            <w:proofErr w:type="gramEnd"/>
          </w:p>
          <w:p w:rsidR="00382C79" w:rsidRPr="00382C79" w:rsidRDefault="00382C79" w:rsidP="00382C79">
            <w:pPr>
              <w:ind w:right="-2"/>
              <w:jc w:val="center"/>
              <w:rPr>
                <w:rFonts w:eastAsia="Calibri"/>
              </w:rPr>
            </w:pPr>
            <w:r w:rsidRPr="00382C79">
              <w:rPr>
                <w:rFonts w:eastAsia="Calibri"/>
              </w:rPr>
              <w:t xml:space="preserve">и </w:t>
            </w:r>
            <w:proofErr w:type="spellStart"/>
            <w:proofErr w:type="gramStart"/>
            <w:r w:rsidRPr="00382C79">
              <w:rPr>
                <w:rFonts w:eastAsia="Calibri"/>
              </w:rPr>
              <w:t>энергети</w:t>
            </w:r>
            <w:proofErr w:type="spellEnd"/>
            <w:r w:rsidRPr="00382C79">
              <w:rPr>
                <w:rFonts w:eastAsia="Calibri"/>
              </w:rPr>
              <w:t>-ческой</w:t>
            </w:r>
            <w:proofErr w:type="gramEnd"/>
            <w:r w:rsidRPr="00382C79">
              <w:rPr>
                <w:rFonts w:eastAsia="Calibri"/>
              </w:rPr>
              <w:t xml:space="preserve"> </w:t>
            </w:r>
            <w:proofErr w:type="spellStart"/>
            <w:r w:rsidRPr="00382C79">
              <w:rPr>
                <w:rFonts w:eastAsia="Calibri"/>
              </w:rPr>
              <w:t>эффектив-ности</w:t>
            </w:r>
            <w:proofErr w:type="spellEnd"/>
          </w:p>
        </w:tc>
        <w:tc>
          <w:tcPr>
            <w:tcW w:w="1610"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60" w:right="-106"/>
              <w:jc w:val="center"/>
              <w:rPr>
                <w:rFonts w:eastAsia="Calibri"/>
              </w:rPr>
            </w:pPr>
            <w:r w:rsidRPr="00382C79">
              <w:rPr>
                <w:rFonts w:eastAsia="Calibri"/>
              </w:rPr>
              <w:t xml:space="preserve">Реализация программ в области </w:t>
            </w:r>
            <w:proofErr w:type="spellStart"/>
            <w:proofErr w:type="gramStart"/>
            <w:r w:rsidRPr="00382C79">
              <w:rPr>
                <w:rFonts w:eastAsia="Calibri"/>
              </w:rPr>
              <w:t>энергосбере-жения</w:t>
            </w:r>
            <w:proofErr w:type="spellEnd"/>
            <w:proofErr w:type="gramEnd"/>
          </w:p>
          <w:p w:rsidR="00382C79" w:rsidRPr="00382C79" w:rsidRDefault="00382C79" w:rsidP="00382C79">
            <w:pPr>
              <w:ind w:right="-2"/>
              <w:jc w:val="center"/>
              <w:rPr>
                <w:rFonts w:eastAsia="Calibri"/>
              </w:rPr>
            </w:pPr>
            <w:r w:rsidRPr="00382C79">
              <w:rPr>
                <w:rFonts w:eastAsia="Calibri"/>
              </w:rPr>
              <w:t xml:space="preserve">и повышения </w:t>
            </w:r>
            <w:proofErr w:type="spellStart"/>
            <w:proofErr w:type="gramStart"/>
            <w:r w:rsidRPr="00382C79">
              <w:rPr>
                <w:rFonts w:eastAsia="Calibri"/>
              </w:rPr>
              <w:t>энергети</w:t>
            </w:r>
            <w:proofErr w:type="spellEnd"/>
            <w:r w:rsidRPr="00382C79">
              <w:rPr>
                <w:rFonts w:eastAsia="Calibri"/>
              </w:rPr>
              <w:t>-ческой</w:t>
            </w:r>
            <w:proofErr w:type="gramEnd"/>
            <w:r w:rsidRPr="00382C79">
              <w:rPr>
                <w:rFonts w:eastAsia="Calibri"/>
              </w:rPr>
              <w:t xml:space="preserve"> </w:t>
            </w:r>
            <w:proofErr w:type="spellStart"/>
            <w:r w:rsidRPr="00382C79">
              <w:rPr>
                <w:rFonts w:eastAsia="Calibri"/>
              </w:rPr>
              <w:t>эффектив-ности</w:t>
            </w:r>
            <w:proofErr w:type="spellEnd"/>
          </w:p>
        </w:tc>
        <w:tc>
          <w:tcPr>
            <w:tcW w:w="1067"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10" w:right="-98"/>
              <w:jc w:val="center"/>
              <w:rPr>
                <w:rFonts w:eastAsia="Calibri"/>
              </w:rPr>
            </w:pPr>
            <w:proofErr w:type="gramStart"/>
            <w:r w:rsidRPr="00382C79">
              <w:rPr>
                <w:rFonts w:eastAsia="Calibri"/>
              </w:rPr>
              <w:t>Динами-ка</w:t>
            </w:r>
            <w:proofErr w:type="gramEnd"/>
            <w:r w:rsidRPr="00382C79">
              <w:rPr>
                <w:rFonts w:eastAsia="Calibri"/>
              </w:rPr>
              <w:t xml:space="preserve"> измене-</w:t>
            </w:r>
            <w:proofErr w:type="spellStart"/>
            <w:r w:rsidRPr="00382C79">
              <w:rPr>
                <w:rFonts w:eastAsia="Calibri"/>
              </w:rPr>
              <w:t>ния</w:t>
            </w:r>
            <w:proofErr w:type="spellEnd"/>
            <w:r w:rsidRPr="00382C79">
              <w:rPr>
                <w:rFonts w:eastAsia="Calibri"/>
              </w:rPr>
              <w:t xml:space="preserve"> расходов на топливо</w:t>
            </w:r>
          </w:p>
        </w:tc>
      </w:tr>
      <w:tr w:rsidR="00382C79" w:rsidRPr="00382C79" w:rsidTr="00382C79">
        <w:trPr>
          <w:trHeight w:val="144"/>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709"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276" w:type="dxa"/>
            <w:tcBorders>
              <w:top w:val="single" w:sz="4" w:space="0" w:color="auto"/>
              <w:left w:val="single" w:sz="4" w:space="0" w:color="auto"/>
              <w:bottom w:val="single" w:sz="4" w:space="0" w:color="auto"/>
              <w:right w:val="single" w:sz="4" w:space="0" w:color="auto"/>
            </w:tcBorders>
            <w:hideMark/>
          </w:tcPr>
          <w:p w:rsidR="00382C79" w:rsidRPr="00382C79" w:rsidRDefault="00382C79" w:rsidP="00382C79">
            <w:pPr>
              <w:ind w:right="-2"/>
              <w:jc w:val="center"/>
              <w:rPr>
                <w:rFonts w:eastAsia="Calibri"/>
              </w:rPr>
            </w:pPr>
            <w:r w:rsidRPr="00382C79">
              <w:rPr>
                <w:rFonts w:eastAsia="Calibri"/>
              </w:rPr>
              <w:t>тыс. руб.</w:t>
            </w:r>
          </w:p>
        </w:tc>
        <w:tc>
          <w:tcPr>
            <w:tcW w:w="992" w:type="dxa"/>
            <w:tcBorders>
              <w:top w:val="single" w:sz="4" w:space="0" w:color="auto"/>
              <w:left w:val="single" w:sz="4" w:space="0" w:color="auto"/>
              <w:bottom w:val="single" w:sz="4" w:space="0" w:color="auto"/>
              <w:right w:val="single" w:sz="4" w:space="0" w:color="auto"/>
            </w:tcBorders>
            <w:hideMark/>
          </w:tcPr>
          <w:p w:rsidR="00382C79" w:rsidRPr="00382C79" w:rsidRDefault="00382C79" w:rsidP="00382C79">
            <w:pPr>
              <w:ind w:right="-2"/>
              <w:jc w:val="center"/>
              <w:rPr>
                <w:rFonts w:eastAsia="Calibri"/>
              </w:rPr>
            </w:pPr>
            <w:r w:rsidRPr="00382C79">
              <w:rPr>
                <w:rFonts w:eastAsia="Calibri"/>
              </w:rPr>
              <w:t>%</w:t>
            </w:r>
          </w:p>
        </w:tc>
        <w:tc>
          <w:tcPr>
            <w:tcW w:w="992" w:type="dxa"/>
            <w:tcBorders>
              <w:top w:val="single" w:sz="4" w:space="0" w:color="auto"/>
              <w:left w:val="single" w:sz="4" w:space="0" w:color="auto"/>
              <w:bottom w:val="single" w:sz="4" w:space="0" w:color="auto"/>
              <w:right w:val="single" w:sz="4" w:space="0" w:color="auto"/>
            </w:tcBorders>
            <w:hideMark/>
          </w:tcPr>
          <w:p w:rsidR="00382C79" w:rsidRPr="00382C79" w:rsidRDefault="00382C79" w:rsidP="00382C79">
            <w:pPr>
              <w:ind w:right="-2"/>
              <w:jc w:val="center"/>
              <w:rPr>
                <w:rFonts w:eastAsia="Calibri"/>
              </w:rPr>
            </w:pPr>
            <w:r w:rsidRPr="00382C79">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382C79" w:rsidRPr="00382C79" w:rsidRDefault="00382C79" w:rsidP="00382C79">
            <w:pPr>
              <w:ind w:right="-2"/>
              <w:jc w:val="center"/>
              <w:rPr>
                <w:rFonts w:eastAsia="Calibri"/>
              </w:rPr>
            </w:pPr>
          </w:p>
        </w:tc>
        <w:tc>
          <w:tcPr>
            <w:tcW w:w="1444" w:type="dxa"/>
            <w:tcBorders>
              <w:top w:val="single" w:sz="4" w:space="0" w:color="auto"/>
              <w:left w:val="single" w:sz="4" w:space="0" w:color="auto"/>
              <w:bottom w:val="single" w:sz="4" w:space="0" w:color="auto"/>
              <w:right w:val="single" w:sz="4" w:space="0" w:color="auto"/>
            </w:tcBorders>
          </w:tcPr>
          <w:p w:rsidR="00382C79" w:rsidRPr="00382C79" w:rsidRDefault="00382C79" w:rsidP="00382C79">
            <w:pPr>
              <w:ind w:right="-2"/>
              <w:jc w:val="center"/>
              <w:rPr>
                <w:rFonts w:eastAsia="Calibri"/>
              </w:rPr>
            </w:pPr>
          </w:p>
        </w:tc>
        <w:tc>
          <w:tcPr>
            <w:tcW w:w="1610" w:type="dxa"/>
            <w:tcBorders>
              <w:top w:val="single" w:sz="4" w:space="0" w:color="auto"/>
              <w:left w:val="single" w:sz="4" w:space="0" w:color="auto"/>
              <w:bottom w:val="single" w:sz="4" w:space="0" w:color="auto"/>
              <w:right w:val="single" w:sz="4" w:space="0" w:color="auto"/>
            </w:tcBorders>
          </w:tcPr>
          <w:p w:rsidR="00382C79" w:rsidRPr="00382C79" w:rsidRDefault="00382C79" w:rsidP="00382C79">
            <w:pPr>
              <w:ind w:right="-2"/>
              <w:jc w:val="center"/>
              <w:rPr>
                <w:rFonts w:eastAsia="Calibri"/>
              </w:rPr>
            </w:pPr>
          </w:p>
        </w:tc>
        <w:tc>
          <w:tcPr>
            <w:tcW w:w="1067" w:type="dxa"/>
            <w:tcBorders>
              <w:top w:val="single" w:sz="4" w:space="0" w:color="auto"/>
              <w:left w:val="single" w:sz="4" w:space="0" w:color="auto"/>
              <w:bottom w:val="single" w:sz="4" w:space="0" w:color="auto"/>
              <w:right w:val="single" w:sz="4" w:space="0" w:color="auto"/>
            </w:tcBorders>
          </w:tcPr>
          <w:p w:rsidR="00382C79" w:rsidRPr="00382C79" w:rsidRDefault="00382C79" w:rsidP="00382C79">
            <w:pPr>
              <w:ind w:right="-2"/>
              <w:jc w:val="center"/>
              <w:rPr>
                <w:rFonts w:eastAsia="Calibri"/>
              </w:rPr>
            </w:pPr>
          </w:p>
        </w:tc>
      </w:tr>
      <w:tr w:rsidR="00382C79" w:rsidRPr="00382C79" w:rsidTr="00382C79">
        <w:trPr>
          <w:trHeight w:val="152"/>
        </w:trPr>
        <w:tc>
          <w:tcPr>
            <w:tcW w:w="1703"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08"/>
              <w:jc w:val="center"/>
              <w:rPr>
                <w:rFonts w:eastAsia="Calibri"/>
              </w:rPr>
            </w:pPr>
            <w:r w:rsidRPr="00382C79">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6</w:t>
            </w:r>
          </w:p>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08"/>
              <w:jc w:val="center"/>
              <w:rPr>
                <w:rFonts w:eastAsia="Calibri"/>
              </w:rPr>
            </w:pPr>
            <w:r w:rsidRPr="00382C79">
              <w:rPr>
                <w:rFonts w:eastAsia="Calibri"/>
              </w:rPr>
              <w:t>7</w:t>
            </w:r>
          </w:p>
        </w:tc>
        <w:tc>
          <w:tcPr>
            <w:tcW w:w="1610"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8</w:t>
            </w:r>
          </w:p>
        </w:tc>
        <w:tc>
          <w:tcPr>
            <w:tcW w:w="1067"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9</w:t>
            </w:r>
          </w:p>
        </w:tc>
      </w:tr>
      <w:tr w:rsidR="00382C79" w:rsidRPr="00382C79" w:rsidTr="00382C79">
        <w:trPr>
          <w:trHeight w:val="408"/>
        </w:trPr>
        <w:tc>
          <w:tcPr>
            <w:tcW w:w="1703"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25"/>
              <w:jc w:val="center"/>
              <w:rPr>
                <w:rFonts w:eastAsia="Calibri"/>
                <w:bCs/>
                <w:color w:val="000000"/>
                <w:kern w:val="32"/>
              </w:rPr>
            </w:pPr>
            <w:r w:rsidRPr="00382C79">
              <w:rPr>
                <w:rFonts w:eastAsia="Calibri"/>
                <w:bCs/>
                <w:color w:val="000000"/>
                <w:kern w:val="32"/>
              </w:rPr>
              <w:t>АО «Тепло-</w:t>
            </w:r>
            <w:proofErr w:type="spellStart"/>
            <w:r w:rsidRPr="00382C79">
              <w:rPr>
                <w:rFonts w:eastAsia="Calibri"/>
                <w:bCs/>
                <w:color w:val="000000"/>
                <w:kern w:val="32"/>
              </w:rPr>
              <w:t>энерго</w:t>
            </w:r>
            <w:proofErr w:type="spellEnd"/>
            <w:r w:rsidRPr="00382C79">
              <w:rPr>
                <w:rFonts w:eastAsia="Calibri"/>
                <w:bCs/>
                <w:color w:val="000000"/>
                <w:kern w:val="32"/>
              </w:rPr>
              <w:t>»</w:t>
            </w:r>
          </w:p>
          <w:p w:rsidR="00382C79" w:rsidRPr="00382C79" w:rsidRDefault="00382C79" w:rsidP="00382C79">
            <w:pPr>
              <w:ind w:left="-108" w:right="-125"/>
              <w:jc w:val="center"/>
              <w:rPr>
                <w:rFonts w:eastAsia="Calibri"/>
              </w:rPr>
            </w:pPr>
            <w:r w:rsidRPr="00382C79">
              <w:rPr>
                <w:rFonts w:eastAsia="Calibri"/>
                <w:bCs/>
                <w:color w:val="000000"/>
                <w:kern w:val="32"/>
              </w:rPr>
              <w:t>(г. Кемерово)</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08"/>
              <w:jc w:val="center"/>
              <w:rPr>
                <w:rFonts w:eastAsia="Calibri"/>
              </w:rPr>
            </w:pPr>
            <w:r w:rsidRPr="00382C79">
              <w:rPr>
                <w:rFonts w:eastAsia="Calibri"/>
              </w:rPr>
              <w:t>2016</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333161,09</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lang w:val="en-US"/>
              </w:rPr>
              <w:t>x</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4,15</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0,00</w:t>
            </w:r>
          </w:p>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08"/>
              <w:jc w:val="center"/>
              <w:rPr>
                <w:rFonts w:eastAsia="Calibri"/>
              </w:rPr>
            </w:pPr>
            <w:r w:rsidRPr="00382C79">
              <w:rPr>
                <w:rFonts w:eastAsia="Calibri"/>
              </w:rPr>
              <w:t>х</w:t>
            </w:r>
          </w:p>
        </w:tc>
        <w:tc>
          <w:tcPr>
            <w:tcW w:w="1610"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lang w:val="en-US"/>
              </w:rPr>
              <w:t>x</w:t>
            </w:r>
          </w:p>
        </w:tc>
        <w:tc>
          <w:tcPr>
            <w:tcW w:w="1067"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lang w:val="en-US"/>
              </w:rPr>
              <w:t>x</w:t>
            </w:r>
          </w:p>
        </w:tc>
      </w:tr>
      <w:tr w:rsidR="00382C79" w:rsidRPr="00382C79" w:rsidTr="00382C79">
        <w:trPr>
          <w:trHeight w:val="408"/>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709"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jc w:val="center"/>
              <w:rPr>
                <w:rFonts w:eastAsia="Calibri"/>
              </w:rPr>
            </w:pPr>
            <w:r w:rsidRPr="00382C79">
              <w:rPr>
                <w:rFonts w:eastAsia="Calibri"/>
              </w:rPr>
              <w:t>х</w:t>
            </w: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067"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r>
      <w:tr w:rsidR="00382C79" w:rsidRPr="00382C79" w:rsidTr="00382C79">
        <w:trPr>
          <w:trHeight w:val="408"/>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709"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jc w:val="center"/>
              <w:rPr>
                <w:rFonts w:eastAsia="Calibri"/>
              </w:rPr>
            </w:pPr>
            <w:r w:rsidRPr="00382C79">
              <w:rPr>
                <w:rFonts w:eastAsia="Calibri"/>
              </w:rPr>
              <w:t>х</w:t>
            </w: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067"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r>
      <w:tr w:rsidR="00382C79" w:rsidRPr="00382C79" w:rsidTr="00382C79">
        <w:trPr>
          <w:trHeight w:val="421"/>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08"/>
              <w:jc w:val="center"/>
              <w:rPr>
                <w:rFonts w:eastAsia="Calibri"/>
              </w:rPr>
            </w:pPr>
            <w:r w:rsidRPr="00382C79">
              <w:rPr>
                <w:rFonts w:eastAsia="Calibri"/>
              </w:rPr>
              <w:t>2017</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x</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1,00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2,78</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0,00</w:t>
            </w:r>
          </w:p>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08"/>
              <w:jc w:val="center"/>
              <w:rPr>
                <w:rFonts w:eastAsia="Calibri"/>
              </w:rPr>
            </w:pPr>
            <w:r w:rsidRPr="00382C79">
              <w:rPr>
                <w:rFonts w:eastAsia="Calibri"/>
              </w:rPr>
              <w:t>х</w:t>
            </w:r>
          </w:p>
        </w:tc>
        <w:tc>
          <w:tcPr>
            <w:tcW w:w="1610"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lang w:val="en-US"/>
              </w:rPr>
              <w:t>x</w:t>
            </w:r>
          </w:p>
        </w:tc>
        <w:tc>
          <w:tcPr>
            <w:tcW w:w="1067"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lang w:val="en-US"/>
              </w:rPr>
              <w:t>x</w:t>
            </w:r>
          </w:p>
        </w:tc>
      </w:tr>
      <w:tr w:rsidR="00382C79" w:rsidRPr="00382C79" w:rsidTr="00382C79">
        <w:trPr>
          <w:trHeight w:val="408"/>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709"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jc w:val="center"/>
              <w:rPr>
                <w:rFonts w:eastAsia="Calibri"/>
              </w:rPr>
            </w:pPr>
            <w:r w:rsidRPr="00382C79">
              <w:rPr>
                <w:rFonts w:eastAsia="Calibri"/>
              </w:rPr>
              <w:t>х</w:t>
            </w: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067"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r>
      <w:tr w:rsidR="00382C79" w:rsidRPr="00382C79" w:rsidTr="00382C79">
        <w:trPr>
          <w:trHeight w:val="408"/>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709"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jc w:val="center"/>
              <w:rPr>
                <w:rFonts w:eastAsia="Calibri"/>
              </w:rPr>
            </w:pPr>
            <w:r w:rsidRPr="00382C79">
              <w:rPr>
                <w:rFonts w:eastAsia="Calibri"/>
              </w:rPr>
              <w:t>х</w:t>
            </w: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067"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r>
      <w:tr w:rsidR="00382C79" w:rsidRPr="00382C79" w:rsidTr="00382C79">
        <w:trPr>
          <w:trHeight w:val="421"/>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08"/>
              <w:jc w:val="center"/>
              <w:rPr>
                <w:rFonts w:eastAsia="Calibri"/>
              </w:rPr>
            </w:pPr>
            <w:r w:rsidRPr="00382C79">
              <w:rPr>
                <w:rFonts w:eastAsia="Calibri"/>
              </w:rPr>
              <w:t>2018</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x</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1,00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2,72</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rPr>
              <w:t>0,00</w:t>
            </w:r>
          </w:p>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left="-108" w:right="-108"/>
              <w:jc w:val="center"/>
              <w:rPr>
                <w:rFonts w:eastAsia="Calibri"/>
              </w:rPr>
            </w:pPr>
            <w:r w:rsidRPr="00382C79">
              <w:rPr>
                <w:rFonts w:eastAsia="Calibri"/>
              </w:rPr>
              <w:t>х</w:t>
            </w:r>
          </w:p>
        </w:tc>
        <w:tc>
          <w:tcPr>
            <w:tcW w:w="1610"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lang w:val="en-US"/>
              </w:rPr>
              <w:t>x</w:t>
            </w:r>
          </w:p>
        </w:tc>
        <w:tc>
          <w:tcPr>
            <w:tcW w:w="1067" w:type="dxa"/>
            <w:vMerge w:val="restart"/>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ind w:right="-2"/>
              <w:jc w:val="center"/>
              <w:rPr>
                <w:rFonts w:eastAsia="Calibri"/>
              </w:rPr>
            </w:pPr>
            <w:r w:rsidRPr="00382C79">
              <w:rPr>
                <w:rFonts w:eastAsia="Calibri"/>
                <w:lang w:val="en-US"/>
              </w:rPr>
              <w:t>x</w:t>
            </w:r>
          </w:p>
        </w:tc>
      </w:tr>
      <w:tr w:rsidR="00382C79" w:rsidRPr="00382C79" w:rsidTr="00382C79">
        <w:trPr>
          <w:trHeight w:val="408"/>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709"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jc w:val="center"/>
              <w:rPr>
                <w:rFonts w:eastAsia="Calibri"/>
              </w:rPr>
            </w:pPr>
            <w:r w:rsidRPr="00382C79">
              <w:rPr>
                <w:rFonts w:eastAsia="Calibri"/>
              </w:rPr>
              <w:t>х</w:t>
            </w: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067"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r>
      <w:tr w:rsidR="00382C79" w:rsidRPr="00382C79" w:rsidTr="00382C79">
        <w:trPr>
          <w:trHeight w:val="421"/>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709"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992"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444" w:type="dxa"/>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pPr>
              <w:jc w:val="center"/>
              <w:rPr>
                <w:rFonts w:eastAsia="Calibri"/>
              </w:rPr>
            </w:pPr>
            <w:r w:rsidRPr="00382C79">
              <w:rPr>
                <w:rFonts w:eastAsia="Calibri"/>
              </w:rPr>
              <w:t>х</w:t>
            </w: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c>
          <w:tcPr>
            <w:tcW w:w="1067" w:type="dxa"/>
            <w:vMerge/>
            <w:tcBorders>
              <w:top w:val="single" w:sz="4" w:space="0" w:color="auto"/>
              <w:left w:val="single" w:sz="4" w:space="0" w:color="auto"/>
              <w:bottom w:val="single" w:sz="4" w:space="0" w:color="auto"/>
              <w:right w:val="single" w:sz="4" w:space="0" w:color="auto"/>
            </w:tcBorders>
            <w:vAlign w:val="center"/>
            <w:hideMark/>
          </w:tcPr>
          <w:p w:rsidR="00382C79" w:rsidRPr="00382C79" w:rsidRDefault="00382C79" w:rsidP="00382C79"/>
        </w:tc>
      </w:tr>
    </w:tbl>
    <w:p w:rsidR="00382C79" w:rsidRPr="00382C79" w:rsidRDefault="00382C79" w:rsidP="00382C79">
      <w:pPr>
        <w:jc w:val="center"/>
        <w:rPr>
          <w:b/>
          <w:bCs/>
          <w:sz w:val="28"/>
          <w:szCs w:val="28"/>
        </w:rPr>
      </w:pPr>
    </w:p>
    <w:p w:rsidR="00E051BD" w:rsidRPr="004A12F9" w:rsidRDefault="00E051BD" w:rsidP="00E051BD">
      <w:pPr>
        <w:tabs>
          <w:tab w:val="left" w:pos="2520"/>
        </w:tabs>
        <w:rPr>
          <w:lang w:eastAsia="x-none"/>
        </w:rPr>
      </w:pPr>
    </w:p>
    <w:sectPr w:rsidR="00E051BD" w:rsidRPr="004A12F9" w:rsidSect="00E051BD">
      <w:pgSz w:w="11906" w:h="16838"/>
      <w:pgMar w:top="1134" w:right="850"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DC3" w:rsidRDefault="002D3DC3">
      <w:r>
        <w:separator/>
      </w:r>
    </w:p>
  </w:endnote>
  <w:endnote w:type="continuationSeparator" w:id="0">
    <w:p w:rsidR="002D3DC3" w:rsidRDefault="002D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DC3" w:rsidRDefault="002D3DC3">
      <w:r>
        <w:separator/>
      </w:r>
    </w:p>
  </w:footnote>
  <w:footnote w:type="continuationSeparator" w:id="0">
    <w:p w:rsidR="002D3DC3" w:rsidRDefault="002D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827156"/>
      <w:docPartObj>
        <w:docPartGallery w:val="Page Numbers (Top of Page)"/>
        <w:docPartUnique/>
      </w:docPartObj>
    </w:sdtPr>
    <w:sdtEndPr/>
    <w:sdtContent>
      <w:p w:rsidR="00AD5B1E" w:rsidRDefault="00AD5B1E">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65C89"/>
    <w:multiLevelType w:val="hybridMultilevel"/>
    <w:tmpl w:val="AC8645B8"/>
    <w:lvl w:ilvl="0" w:tplc="ECB0A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6E506B2"/>
    <w:multiLevelType w:val="hybridMultilevel"/>
    <w:tmpl w:val="DB3E9C5E"/>
    <w:lvl w:ilvl="0" w:tplc="37647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F3E5D16"/>
    <w:multiLevelType w:val="hybridMultilevel"/>
    <w:tmpl w:val="A984C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007BC1"/>
    <w:multiLevelType w:val="hybridMultilevel"/>
    <w:tmpl w:val="8D2EC7B2"/>
    <w:lvl w:ilvl="0" w:tplc="9CF8568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6F4A37E3"/>
    <w:multiLevelType w:val="hybridMultilevel"/>
    <w:tmpl w:val="57CA40B6"/>
    <w:lvl w:ilvl="0" w:tplc="F06623B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15"/>
  </w:num>
  <w:num w:numId="5">
    <w:abstractNumId w:val="10"/>
  </w:num>
  <w:num w:numId="6">
    <w:abstractNumId w:val="17"/>
  </w:num>
  <w:num w:numId="7">
    <w:abstractNumId w:val="9"/>
  </w:num>
  <w:num w:numId="8">
    <w:abstractNumId w:val="12"/>
  </w:num>
  <w:num w:numId="9">
    <w:abstractNumId w:val="6"/>
  </w:num>
  <w:num w:numId="10">
    <w:abstractNumId w:val="5"/>
  </w:num>
  <w:num w:numId="11">
    <w:abstractNumId w:val="8"/>
  </w:num>
  <w:num w:numId="12">
    <w:abstractNumId w:val="18"/>
  </w:num>
  <w:num w:numId="13">
    <w:abstractNumId w:val="14"/>
  </w:num>
  <w:num w:numId="14">
    <w:abstractNumId w:val="11"/>
  </w:num>
  <w:num w:numId="15">
    <w:abstractNumId w:val="3"/>
  </w:num>
  <w:num w:numId="16">
    <w:abstractNumId w:val="19"/>
  </w:num>
  <w:num w:numId="17">
    <w:abstractNumId w:val="13"/>
  </w:num>
  <w:num w:numId="18">
    <w:abstractNumId w:val="7"/>
  </w:num>
  <w:num w:numId="19">
    <w:abstractNumId w:val="16"/>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2E1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1DC3"/>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816"/>
    <w:rsid w:val="00050DDE"/>
    <w:rsid w:val="00051086"/>
    <w:rsid w:val="000515B6"/>
    <w:rsid w:val="00051E52"/>
    <w:rsid w:val="00053AED"/>
    <w:rsid w:val="00053BE4"/>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12CA"/>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120"/>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6F34"/>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2C79"/>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5129"/>
    <w:rsid w:val="004062E8"/>
    <w:rsid w:val="00406528"/>
    <w:rsid w:val="0040691B"/>
    <w:rsid w:val="00406C0E"/>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0C4"/>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E21"/>
    <w:rsid w:val="00AB2F8D"/>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555"/>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5736"/>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749"/>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3F8"/>
    <w:rsid w:val="00F16846"/>
    <w:rsid w:val="00F17444"/>
    <w:rsid w:val="00F20016"/>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ABD153"/>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65E7-3AC1-4065-950D-E37A4B13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12</Pages>
  <Words>2722</Words>
  <Characters>20902</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23577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72</cp:revision>
  <cp:lastPrinted>2018-04-16T08:12:00Z</cp:lastPrinted>
  <dcterms:created xsi:type="dcterms:W3CDTF">2018-02-19T07:57:00Z</dcterms:created>
  <dcterms:modified xsi:type="dcterms:W3CDTF">2018-04-17T04:20:00Z</dcterms:modified>
</cp:coreProperties>
</file>