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DB0135">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237EAC" w:rsidP="008311A7">
      <w:r>
        <w:t>0</w:t>
      </w:r>
      <w:r w:rsidR="00E54148">
        <w:t>6</w:t>
      </w:r>
      <w:r w:rsidR="00A86720" w:rsidRPr="003866BB">
        <w:t>.</w:t>
      </w:r>
      <w:r w:rsidR="00422D55">
        <w:t>0</w:t>
      </w:r>
      <w:r>
        <w:t>9</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237EAC">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Default="00C95E81" w:rsidP="006A4EC7">
      <w:pPr>
        <w:ind w:right="-142"/>
        <w:jc w:val="both"/>
        <w:rPr>
          <w:b/>
        </w:rPr>
      </w:pPr>
      <w:r w:rsidRPr="00C443F5">
        <w:t>Члены Правления:</w:t>
      </w:r>
      <w:r>
        <w:t xml:space="preserve"> </w:t>
      </w:r>
      <w:r w:rsidR="00541B41" w:rsidRPr="00541B41">
        <w:rPr>
          <w:b/>
        </w:rPr>
        <w:t xml:space="preserve">Чурсина О.А., </w:t>
      </w:r>
      <w:r w:rsidR="004F0B0B">
        <w:rPr>
          <w:b/>
        </w:rPr>
        <w:t>Незнанов П.Г.,</w:t>
      </w:r>
      <w:r w:rsidR="001028DC">
        <w:rPr>
          <w:b/>
        </w:rPr>
        <w:t xml:space="preserve"> </w:t>
      </w:r>
      <w:r w:rsidR="00476D58">
        <w:rPr>
          <w:b/>
        </w:rPr>
        <w:t>Гусельщиков</w:t>
      </w:r>
      <w:r w:rsidR="002C66DC">
        <w:rPr>
          <w:b/>
        </w:rPr>
        <w:t xml:space="preserve"> Э.Б.</w:t>
      </w:r>
    </w:p>
    <w:p w:rsidR="00A87E27" w:rsidRDefault="00A87E27"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352"/>
        <w:gridCol w:w="7288"/>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E54148" w:rsidRPr="00C443F5" w:rsidTr="00615C4F">
        <w:trPr>
          <w:trHeight w:val="409"/>
        </w:trPr>
        <w:tc>
          <w:tcPr>
            <w:tcW w:w="2439" w:type="dxa"/>
            <w:shd w:val="clear" w:color="auto" w:fill="auto"/>
          </w:tcPr>
          <w:p w:rsidR="00E54148" w:rsidRPr="00734190" w:rsidRDefault="00E54148" w:rsidP="00E54148">
            <w:pPr>
              <w:rPr>
                <w:b/>
              </w:rPr>
            </w:pPr>
            <w:r>
              <w:rPr>
                <w:b/>
              </w:rPr>
              <w:t>Рюмшина М.Н.</w:t>
            </w:r>
          </w:p>
        </w:tc>
        <w:tc>
          <w:tcPr>
            <w:tcW w:w="7776" w:type="dxa"/>
            <w:shd w:val="clear" w:color="auto" w:fill="auto"/>
          </w:tcPr>
          <w:p w:rsidR="00E54148" w:rsidRDefault="00E54148" w:rsidP="00E54148">
            <w:pPr>
              <w:jc w:val="both"/>
            </w:pPr>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r w:rsidR="00E54148" w:rsidRPr="00C443F5" w:rsidTr="00615C4F">
        <w:trPr>
          <w:trHeight w:val="409"/>
        </w:trPr>
        <w:tc>
          <w:tcPr>
            <w:tcW w:w="2439" w:type="dxa"/>
            <w:shd w:val="clear" w:color="auto" w:fill="auto"/>
          </w:tcPr>
          <w:p w:rsidR="00E54148" w:rsidRDefault="00E54148" w:rsidP="00E54148">
            <w:pPr>
              <w:rPr>
                <w:b/>
              </w:rPr>
            </w:pPr>
            <w:proofErr w:type="spellStart"/>
            <w:r>
              <w:rPr>
                <w:b/>
              </w:rPr>
              <w:t>Стоцкий</w:t>
            </w:r>
            <w:proofErr w:type="spellEnd"/>
            <w:r>
              <w:rPr>
                <w:b/>
              </w:rPr>
              <w:t xml:space="preserve"> Ю.М.</w:t>
            </w:r>
          </w:p>
        </w:tc>
        <w:tc>
          <w:tcPr>
            <w:tcW w:w="7776" w:type="dxa"/>
            <w:shd w:val="clear" w:color="auto" w:fill="auto"/>
          </w:tcPr>
          <w:p w:rsidR="00E54148" w:rsidRDefault="00E54148" w:rsidP="00E54148">
            <w:pPr>
              <w:jc w:val="both"/>
            </w:pPr>
            <w:r>
              <w:t>- заместитель начальника департамента транспорта и связи Кемеровской области</w:t>
            </w:r>
          </w:p>
        </w:tc>
      </w:tr>
      <w:tr w:rsidR="00E54148" w:rsidRPr="00C443F5" w:rsidTr="00615C4F">
        <w:trPr>
          <w:trHeight w:val="409"/>
        </w:trPr>
        <w:tc>
          <w:tcPr>
            <w:tcW w:w="2439" w:type="dxa"/>
            <w:shd w:val="clear" w:color="auto" w:fill="auto"/>
          </w:tcPr>
          <w:p w:rsidR="00E54148" w:rsidRDefault="00E54148" w:rsidP="00E54148">
            <w:pPr>
              <w:rPr>
                <w:b/>
              </w:rPr>
            </w:pPr>
            <w:r>
              <w:rPr>
                <w:b/>
              </w:rPr>
              <w:t>Липовой М.Ю.</w:t>
            </w:r>
          </w:p>
        </w:tc>
        <w:tc>
          <w:tcPr>
            <w:tcW w:w="7776" w:type="dxa"/>
            <w:shd w:val="clear" w:color="auto" w:fill="auto"/>
          </w:tcPr>
          <w:p w:rsidR="00E54148" w:rsidRDefault="00E54148" w:rsidP="00E54148">
            <w:pPr>
              <w:jc w:val="both"/>
            </w:pPr>
            <w:r>
              <w:t xml:space="preserve">- главный экономист </w:t>
            </w:r>
            <w:r w:rsidRPr="00E54148">
              <w:rPr>
                <w:bCs/>
                <w:kern w:val="32"/>
              </w:rPr>
              <w:t>АО «Кузбасс-пригород»</w:t>
            </w:r>
            <w:r>
              <w:t xml:space="preserve"> </w:t>
            </w:r>
          </w:p>
        </w:tc>
      </w:tr>
      <w:tr w:rsidR="00E54148" w:rsidRPr="00C443F5" w:rsidTr="00615C4F">
        <w:trPr>
          <w:trHeight w:val="409"/>
        </w:trPr>
        <w:tc>
          <w:tcPr>
            <w:tcW w:w="2439" w:type="dxa"/>
            <w:shd w:val="clear" w:color="auto" w:fill="auto"/>
          </w:tcPr>
          <w:p w:rsidR="00E54148" w:rsidRDefault="00C117C0" w:rsidP="00E54148">
            <w:pPr>
              <w:rPr>
                <w:b/>
              </w:rPr>
            </w:pPr>
            <w:r>
              <w:rPr>
                <w:b/>
              </w:rPr>
              <w:t>Новиков О.П.</w:t>
            </w:r>
          </w:p>
        </w:tc>
        <w:tc>
          <w:tcPr>
            <w:tcW w:w="7776" w:type="dxa"/>
            <w:shd w:val="clear" w:color="auto" w:fill="auto"/>
          </w:tcPr>
          <w:p w:rsidR="00E54148" w:rsidRDefault="00C117C0" w:rsidP="00E54148">
            <w:pPr>
              <w:jc w:val="both"/>
            </w:pPr>
            <w:r>
              <w:t xml:space="preserve">- главный инженер </w:t>
            </w:r>
            <w:r w:rsidRPr="00E54148">
              <w:rPr>
                <w:bCs/>
                <w:kern w:val="32"/>
              </w:rPr>
              <w:t>АО «Кузбасс-пригород»</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0"/>
        <w:gridCol w:w="9180"/>
      </w:tblGrid>
      <w:tr w:rsidR="00237EAC" w:rsidRPr="008B4C7B" w:rsidTr="00A401A3">
        <w:trPr>
          <w:trHeight w:val="287"/>
          <w:jc w:val="center"/>
        </w:trPr>
        <w:tc>
          <w:tcPr>
            <w:tcW w:w="599" w:type="dxa"/>
            <w:shd w:val="clear" w:color="auto" w:fill="auto"/>
          </w:tcPr>
          <w:p w:rsidR="00237EAC" w:rsidRDefault="00237EAC" w:rsidP="00237EAC">
            <w:pPr>
              <w:jc w:val="both"/>
            </w:pPr>
            <w:r>
              <w:t>1.</w:t>
            </w:r>
          </w:p>
        </w:tc>
        <w:tc>
          <w:tcPr>
            <w:tcW w:w="9732" w:type="dxa"/>
            <w:shd w:val="clear" w:color="auto" w:fill="auto"/>
          </w:tcPr>
          <w:p w:rsidR="00237EAC" w:rsidRPr="00E54148" w:rsidRDefault="00E54148" w:rsidP="00237EAC">
            <w:pPr>
              <w:ind w:right="38" w:firstLine="28"/>
              <w:jc w:val="both"/>
              <w:rPr>
                <w:iCs/>
                <w:color w:val="000000"/>
                <w:lang w:eastAsia="x-none"/>
              </w:rPr>
            </w:pPr>
            <w:r w:rsidRPr="00E54148">
              <w:rPr>
                <w:bCs/>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tc>
      </w:tr>
    </w:tbl>
    <w:p w:rsidR="00A401A3" w:rsidRDefault="00A401A3" w:rsidP="00596FCE">
      <w:pPr>
        <w:ind w:firstLine="567"/>
        <w:jc w:val="both"/>
      </w:pPr>
    </w:p>
    <w:p w:rsidR="006A4EC7" w:rsidRDefault="00A401A3" w:rsidP="006A4EC7">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A87E27">
        <w:t>ю</w:t>
      </w:r>
      <w:r w:rsidR="0036025B">
        <w:t xml:space="preserve"> </w:t>
      </w:r>
      <w:r w:rsidRPr="009A1884">
        <w:t>в установленный срок было направлено уведомление о дате проведения Правления, и предоставил слово докладчику.</w:t>
      </w:r>
    </w:p>
    <w:p w:rsidR="006A4EC7" w:rsidRDefault="006A4EC7" w:rsidP="006A4EC7">
      <w:pPr>
        <w:ind w:firstLine="567"/>
        <w:jc w:val="both"/>
        <w:rPr>
          <w:b/>
        </w:rPr>
      </w:pPr>
    </w:p>
    <w:p w:rsidR="000B47A5" w:rsidRDefault="000B47A5" w:rsidP="006A4EC7">
      <w:pPr>
        <w:ind w:firstLine="567"/>
        <w:jc w:val="both"/>
        <w:rPr>
          <w:b/>
        </w:rPr>
      </w:pPr>
      <w:bookmarkStart w:id="1" w:name="_GoBack"/>
      <w:bookmarkEnd w:id="1"/>
    </w:p>
    <w:p w:rsidR="00237EAC" w:rsidRPr="00E54148" w:rsidRDefault="00A401A3" w:rsidP="006F460B">
      <w:pPr>
        <w:ind w:firstLine="567"/>
        <w:jc w:val="both"/>
        <w:rPr>
          <w:b/>
          <w:bCs/>
          <w:kern w:val="32"/>
        </w:rPr>
      </w:pPr>
      <w:r w:rsidRPr="00E54148">
        <w:rPr>
          <w:b/>
        </w:rPr>
        <w:t xml:space="preserve">1. </w:t>
      </w:r>
      <w:r w:rsidR="00E54148" w:rsidRPr="00E54148">
        <w:rPr>
          <w:b/>
          <w:bCs/>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p w:rsidR="00E54148" w:rsidRDefault="00E54148" w:rsidP="006F460B">
      <w:pPr>
        <w:ind w:firstLine="567"/>
        <w:jc w:val="both"/>
      </w:pPr>
    </w:p>
    <w:p w:rsidR="00C117C0" w:rsidRDefault="00C117C0" w:rsidP="006F460B">
      <w:pPr>
        <w:ind w:firstLine="567"/>
        <w:jc w:val="both"/>
      </w:pPr>
    </w:p>
    <w:p w:rsidR="00C117C0" w:rsidRPr="00C117C0" w:rsidRDefault="00C117C0" w:rsidP="00C117C0">
      <w:pPr>
        <w:ind w:firstLine="567"/>
        <w:jc w:val="both"/>
      </w:pPr>
      <w:r w:rsidRPr="00C117C0">
        <w:lastRenderedPageBreak/>
        <w:t xml:space="preserve">Докладчик </w:t>
      </w:r>
      <w:r w:rsidRPr="00C117C0">
        <w:rPr>
          <w:b/>
        </w:rPr>
        <w:t>Рюмшина М.Н.</w:t>
      </w:r>
      <w:r w:rsidRPr="00C117C0">
        <w:t xml:space="preserve"> согласно экспертному заключению</w:t>
      </w:r>
      <w:r w:rsidRPr="00C117C0">
        <w:br/>
        <w:t>(приложение к настоящему протоколу) предлагает внести в постановление региональной энергетической комиссии Кемеровской области от 19.12.2017 № 523</w:t>
      </w:r>
      <w:r w:rsidRPr="00C117C0">
        <w:br/>
        <w:t>«Об установлении тарифов на услуги по перевозке пассажиров  железнодорожным транспортом</w:t>
      </w:r>
      <w:r w:rsidR="000B47A5">
        <w:t xml:space="preserve"> </w:t>
      </w:r>
      <w:r w:rsidRPr="00C117C0">
        <w:t>в пригородном сообщении  на территории Кемеровской области</w:t>
      </w:r>
      <w:r w:rsidR="000B47A5">
        <w:br/>
      </w:r>
      <w:r w:rsidRPr="00C117C0">
        <w:t>для АО «Кузбасс-пригород» следующие изменения:</w:t>
      </w:r>
    </w:p>
    <w:p w:rsidR="00C117C0" w:rsidRPr="00C117C0" w:rsidRDefault="00C117C0" w:rsidP="00C117C0">
      <w:pPr>
        <w:pStyle w:val="af3"/>
        <w:tabs>
          <w:tab w:val="left" w:pos="1134"/>
        </w:tabs>
        <w:autoSpaceDE w:val="0"/>
        <w:autoSpaceDN w:val="0"/>
        <w:adjustRightInd w:val="0"/>
        <w:ind w:left="0" w:firstLine="567"/>
        <w:jc w:val="both"/>
      </w:pPr>
      <w:r w:rsidRPr="00C117C0">
        <w:t xml:space="preserve">1. В подпунктах 1.1, 1.2, 1.3 пункта 1, заголовках приложений к </w:t>
      </w:r>
      <w:proofErr w:type="gramStart"/>
      <w:r w:rsidRPr="00C117C0">
        <w:t>постановлению  №</w:t>
      </w:r>
      <w:proofErr w:type="gramEnd"/>
      <w:r w:rsidRPr="00C117C0">
        <w:t xml:space="preserve"> 1, 2, 3 после слов «Кемеровской области» дополнить словами «кроме маршрута «Новокузнецк - Северный - Чугунаш».</w:t>
      </w:r>
    </w:p>
    <w:p w:rsidR="00C117C0" w:rsidRPr="00C117C0" w:rsidRDefault="00C117C0" w:rsidP="00C117C0">
      <w:pPr>
        <w:tabs>
          <w:tab w:val="left" w:pos="1134"/>
        </w:tabs>
        <w:autoSpaceDE w:val="0"/>
        <w:autoSpaceDN w:val="0"/>
        <w:adjustRightInd w:val="0"/>
        <w:ind w:firstLine="567"/>
        <w:jc w:val="both"/>
      </w:pPr>
      <w:r w:rsidRPr="00C117C0">
        <w:t>2</w:t>
      </w:r>
      <w:r>
        <w:t>.</w:t>
      </w:r>
      <w:r w:rsidRPr="00C117C0">
        <w:t xml:space="preserve"> Пункт 1 дополнить подпунктами 1.4, 1.5, 1.6, 1.7, 1.8 следующего содержания:</w:t>
      </w:r>
    </w:p>
    <w:p w:rsidR="00C117C0" w:rsidRPr="00C117C0" w:rsidRDefault="00C117C0" w:rsidP="00C117C0">
      <w:pPr>
        <w:tabs>
          <w:tab w:val="left" w:pos="993"/>
          <w:tab w:val="left" w:pos="1701"/>
        </w:tabs>
        <w:autoSpaceDE w:val="0"/>
        <w:autoSpaceDN w:val="0"/>
        <w:adjustRightInd w:val="0"/>
        <w:ind w:firstLine="709"/>
        <w:jc w:val="both"/>
      </w:pPr>
      <w:r w:rsidRPr="00C117C0">
        <w:t xml:space="preserve">«1.4. Тариф на услугу по перевозке пассажиров железнодорожным транспортом в пригородном сообщении по </w:t>
      </w:r>
      <w:proofErr w:type="gramStart"/>
      <w:r w:rsidRPr="00C117C0">
        <w:t>маршруту  «</w:t>
      </w:r>
      <w:proofErr w:type="gramEnd"/>
      <w:r w:rsidRPr="00C117C0">
        <w:t xml:space="preserve">Новокузнецк – Северный - Чугунаш» на экономически обоснованном уровне в размере 2,14 рублей за </w:t>
      </w:r>
      <w:proofErr w:type="spellStart"/>
      <w:r w:rsidRPr="00C117C0">
        <w:t>пассажиро</w:t>
      </w:r>
      <w:proofErr w:type="spellEnd"/>
      <w:r w:rsidRPr="00C117C0">
        <w:t>-километр.</w:t>
      </w:r>
    </w:p>
    <w:p w:rsidR="00C117C0" w:rsidRPr="00C117C0" w:rsidRDefault="00C117C0" w:rsidP="00C117C0">
      <w:pPr>
        <w:pStyle w:val="af3"/>
        <w:numPr>
          <w:ilvl w:val="1"/>
          <w:numId w:val="10"/>
        </w:numPr>
        <w:tabs>
          <w:tab w:val="left" w:pos="993"/>
          <w:tab w:val="left" w:pos="1276"/>
        </w:tabs>
        <w:autoSpaceDE w:val="0"/>
        <w:autoSpaceDN w:val="0"/>
        <w:adjustRightInd w:val="0"/>
        <w:ind w:left="0" w:firstLine="709"/>
        <w:jc w:val="both"/>
      </w:pPr>
      <w:r w:rsidRPr="00C117C0">
        <w:rPr>
          <w:rStyle w:val="afa"/>
          <w:color w:val="auto"/>
          <w:u w:val="none"/>
        </w:rPr>
        <w:t>Тариф</w:t>
      </w:r>
      <w:r w:rsidRPr="00C117C0">
        <w:t xml:space="preserve"> на услугу по перевозке пассажиров железнодорожным транспортом в пригородном сообщении по маршруту «Новокузнецк - Северный - Чугунаш» в размере 150 рублей за поездку.</w:t>
      </w:r>
    </w:p>
    <w:p w:rsidR="00C117C0" w:rsidRPr="00C117C0" w:rsidRDefault="00C117C0" w:rsidP="00C117C0">
      <w:pPr>
        <w:pStyle w:val="af3"/>
        <w:numPr>
          <w:ilvl w:val="1"/>
          <w:numId w:val="10"/>
        </w:numPr>
        <w:ind w:left="0" w:firstLine="709"/>
        <w:jc w:val="both"/>
        <w:rPr>
          <w:bCs/>
        </w:rPr>
      </w:pPr>
      <w:r w:rsidRPr="00C117C0">
        <w:rPr>
          <w:bCs/>
        </w:rPr>
        <w:t xml:space="preserve">Тариф на услугу по перевозке пассажиров железнодорожным транспортом в пригородном сообщении по маршруту «Новокузнецк - Северный - Чугунаш» в вагоне повышенной комфортности в </w:t>
      </w:r>
      <w:proofErr w:type="gramStart"/>
      <w:r w:rsidRPr="00C117C0">
        <w:rPr>
          <w:bCs/>
        </w:rPr>
        <w:t>размере  300</w:t>
      </w:r>
      <w:proofErr w:type="gramEnd"/>
      <w:r w:rsidRPr="00C117C0">
        <w:rPr>
          <w:bCs/>
        </w:rPr>
        <w:t xml:space="preserve"> рублей  за поездку.</w:t>
      </w:r>
    </w:p>
    <w:p w:rsidR="00C117C0" w:rsidRPr="00C117C0" w:rsidRDefault="00C117C0" w:rsidP="00C117C0">
      <w:pPr>
        <w:pStyle w:val="af3"/>
        <w:numPr>
          <w:ilvl w:val="1"/>
          <w:numId w:val="10"/>
        </w:numPr>
        <w:tabs>
          <w:tab w:val="left" w:pos="993"/>
          <w:tab w:val="left" w:pos="1701"/>
        </w:tabs>
        <w:autoSpaceDE w:val="0"/>
        <w:autoSpaceDN w:val="0"/>
        <w:adjustRightInd w:val="0"/>
        <w:ind w:left="0" w:firstLine="567"/>
        <w:jc w:val="both"/>
      </w:pPr>
      <w:r w:rsidRPr="00C117C0">
        <w:t xml:space="preserve"> </w:t>
      </w:r>
      <w:r w:rsidRPr="00C117C0">
        <w:rPr>
          <w:rStyle w:val="afa"/>
          <w:color w:val="auto"/>
          <w:u w:val="none"/>
        </w:rPr>
        <w:t>Тариф</w:t>
      </w:r>
      <w:r w:rsidRPr="00C117C0">
        <w:t xml:space="preserve"> на услугу по перевозке детей в возрасте от 5 до 7 лет железнодорожным транспортом в пригородном сообщении </w:t>
      </w:r>
      <w:r w:rsidRPr="00C117C0">
        <w:rPr>
          <w:bCs/>
        </w:rPr>
        <w:t>по маршруту «Новокузнецк - Северный - Чугунаш» в размере 75 рублей за поездку.</w:t>
      </w:r>
    </w:p>
    <w:p w:rsidR="00C117C0" w:rsidRPr="00C117C0" w:rsidRDefault="00C117C0" w:rsidP="00C117C0">
      <w:pPr>
        <w:pStyle w:val="af3"/>
        <w:numPr>
          <w:ilvl w:val="1"/>
          <w:numId w:val="10"/>
        </w:numPr>
        <w:tabs>
          <w:tab w:val="left" w:pos="993"/>
          <w:tab w:val="left" w:pos="1701"/>
        </w:tabs>
        <w:autoSpaceDE w:val="0"/>
        <w:autoSpaceDN w:val="0"/>
        <w:adjustRightInd w:val="0"/>
        <w:ind w:left="0" w:firstLine="567"/>
        <w:jc w:val="both"/>
      </w:pPr>
      <w:r w:rsidRPr="00C117C0">
        <w:rPr>
          <w:bCs/>
        </w:rPr>
        <w:t xml:space="preserve"> </w:t>
      </w:r>
      <w:r w:rsidRPr="00C117C0">
        <w:rPr>
          <w:rStyle w:val="afa"/>
          <w:bCs/>
          <w:color w:val="auto"/>
          <w:u w:val="none"/>
        </w:rPr>
        <w:t>Тариф</w:t>
      </w:r>
      <w:r w:rsidRPr="00C117C0">
        <w:rPr>
          <w:bCs/>
        </w:rPr>
        <w:t xml:space="preserve"> на услугу по перевозке детей в возрасте от 5 до 7 лет железнодорожным транспортом в пригородном сообщении по маршруту «Новокузнецк - Северный - Чугунаш» в вагоне повышенной комфортности в размере 150 рублей за поездку.</w:t>
      </w:r>
      <w:r w:rsidRPr="00C117C0">
        <w:t>».</w:t>
      </w:r>
    </w:p>
    <w:p w:rsidR="00435968" w:rsidRDefault="00435968" w:rsidP="00E86B2E">
      <w:pPr>
        <w:ind w:right="-143"/>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C117C0" w:rsidRDefault="00C117C0" w:rsidP="00C117C0">
      <w:pPr>
        <w:ind w:firstLine="567"/>
        <w:jc w:val="both"/>
        <w:rPr>
          <w:b/>
        </w:rPr>
      </w:pPr>
    </w:p>
    <w:p w:rsidR="00C117C0" w:rsidRDefault="00C117C0" w:rsidP="00C117C0">
      <w:pPr>
        <w:ind w:firstLine="567"/>
        <w:jc w:val="both"/>
        <w:rPr>
          <w:b/>
        </w:rPr>
      </w:pPr>
    </w:p>
    <w:p w:rsidR="00C117C0" w:rsidRDefault="00C117C0" w:rsidP="00C117C0">
      <w:pPr>
        <w:ind w:firstLine="567"/>
        <w:jc w:val="both"/>
        <w:rPr>
          <w:b/>
        </w:rPr>
      </w:pPr>
      <w:r>
        <w:rPr>
          <w:b/>
        </w:rPr>
        <w:t>ПОСТАНОВИ</w:t>
      </w:r>
      <w:r w:rsidRPr="00492BB6">
        <w:rPr>
          <w:b/>
        </w:rPr>
        <w:t>ЛО:</w:t>
      </w:r>
    </w:p>
    <w:p w:rsidR="00C117C0" w:rsidRDefault="00C117C0" w:rsidP="009C5761">
      <w:pPr>
        <w:ind w:firstLine="567"/>
        <w:jc w:val="both"/>
      </w:pPr>
    </w:p>
    <w:p w:rsidR="00C117C0" w:rsidRDefault="00C117C0" w:rsidP="00C117C0">
      <w:pPr>
        <w:ind w:right="-143" w:firstLine="567"/>
        <w:jc w:val="both"/>
      </w:pPr>
      <w:r>
        <w:t>Согласиться с предложением докладчика.</w:t>
      </w:r>
    </w:p>
    <w:p w:rsidR="00C117C0" w:rsidRDefault="00C117C0" w:rsidP="00C117C0">
      <w:pPr>
        <w:ind w:right="-143" w:firstLine="567"/>
        <w:jc w:val="both"/>
        <w:rPr>
          <w:iCs/>
          <w:color w:val="000000"/>
          <w:lang w:eastAsia="x-none"/>
        </w:rPr>
      </w:pPr>
    </w:p>
    <w:p w:rsidR="00C117C0" w:rsidRDefault="00C117C0" w:rsidP="00C117C0">
      <w:pPr>
        <w:ind w:right="-143" w:firstLine="567"/>
        <w:jc w:val="both"/>
        <w:rPr>
          <w:iCs/>
          <w:color w:val="000000"/>
          <w:lang w:eastAsia="x-none"/>
        </w:rPr>
      </w:pPr>
    </w:p>
    <w:p w:rsidR="00C117C0" w:rsidRDefault="00C117C0" w:rsidP="00C117C0">
      <w:pPr>
        <w:ind w:firstLine="567"/>
        <w:jc w:val="both"/>
        <w:rPr>
          <w:b/>
        </w:rPr>
      </w:pPr>
      <w:r w:rsidRPr="00E17B99">
        <w:rPr>
          <w:b/>
        </w:rPr>
        <w:t>Голосовали «ЗА» – единогласно.</w:t>
      </w:r>
    </w:p>
    <w:p w:rsidR="00C117C0" w:rsidRDefault="00C117C0" w:rsidP="009C5761">
      <w:pPr>
        <w:ind w:firstLine="567"/>
        <w:jc w:val="both"/>
      </w:pPr>
    </w:p>
    <w:bookmarkEnd w:id="0"/>
    <w:p w:rsidR="007F6E96" w:rsidRDefault="007F6E96" w:rsidP="003A1B38">
      <w:pPr>
        <w:ind w:right="-143" w:firstLine="567"/>
        <w:jc w:val="both"/>
        <w:rPr>
          <w:iCs/>
          <w:color w:val="000000"/>
          <w:lang w:eastAsia="x-none"/>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7F6F89" w:rsidRDefault="007F6F89" w:rsidP="00014F33">
      <w:pPr>
        <w:jc w:val="both"/>
      </w:pPr>
    </w:p>
    <w:p w:rsidR="00014F33" w:rsidRDefault="00014F33" w:rsidP="00014F33">
      <w:pPr>
        <w:ind w:firstLine="567"/>
        <w:jc w:val="both"/>
      </w:pPr>
      <w:r>
        <w:t>_____________________О.А. Чурсина</w:t>
      </w:r>
    </w:p>
    <w:p w:rsidR="002C66DC" w:rsidRDefault="002C66DC" w:rsidP="00014F33">
      <w:pPr>
        <w:ind w:firstLine="567"/>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1402F8" w:rsidRDefault="001402F8" w:rsidP="00C53713">
      <w:pPr>
        <w:ind w:firstLine="567"/>
        <w:jc w:val="both"/>
      </w:pPr>
    </w:p>
    <w:p w:rsidR="000B47A5" w:rsidRDefault="000B47A5" w:rsidP="00C53713">
      <w:pPr>
        <w:ind w:firstLine="567"/>
        <w:jc w:val="both"/>
      </w:pPr>
    </w:p>
    <w:p w:rsidR="001402F8" w:rsidRDefault="001402F8" w:rsidP="00C53713">
      <w:pPr>
        <w:ind w:firstLine="567"/>
        <w:jc w:val="both"/>
      </w:pPr>
    </w:p>
    <w:p w:rsidR="00B97EC0" w:rsidRDefault="00014F33" w:rsidP="00C53713">
      <w:pPr>
        <w:ind w:firstLine="567"/>
        <w:jc w:val="both"/>
      </w:pPr>
      <w:r>
        <w:t xml:space="preserve">Секретарь заседания: ____________________ </w:t>
      </w:r>
      <w:r w:rsidR="007F6F89">
        <w:t>К.С. Юхневич</w:t>
      </w:r>
    </w:p>
    <w:p w:rsidR="00B97EC0" w:rsidRDefault="00B97EC0" w:rsidP="001402F8">
      <w:pPr>
        <w:ind w:left="5103"/>
        <w:jc w:val="both"/>
      </w:pPr>
      <w:r>
        <w:lastRenderedPageBreak/>
        <w:t>Приложение к протоколу № 48</w:t>
      </w:r>
    </w:p>
    <w:p w:rsidR="00B97EC0" w:rsidRDefault="00B97EC0" w:rsidP="001402F8">
      <w:pPr>
        <w:ind w:left="5103"/>
        <w:jc w:val="both"/>
      </w:pPr>
      <w:r>
        <w:t xml:space="preserve">заседания Правления региональной </w:t>
      </w:r>
    </w:p>
    <w:p w:rsidR="00B97EC0" w:rsidRDefault="00B97EC0" w:rsidP="001402F8">
      <w:pPr>
        <w:ind w:left="5103"/>
        <w:jc w:val="both"/>
      </w:pPr>
      <w:r>
        <w:t>энергетической комиссии Кемеровской</w:t>
      </w:r>
    </w:p>
    <w:p w:rsidR="00B97EC0" w:rsidRDefault="00B97EC0" w:rsidP="001402F8">
      <w:pPr>
        <w:ind w:left="5103"/>
        <w:jc w:val="both"/>
      </w:pPr>
      <w:r>
        <w:t>области от 06.09.2018</w:t>
      </w:r>
    </w:p>
    <w:p w:rsidR="00B97EC0" w:rsidRDefault="00B97EC0" w:rsidP="00C53713">
      <w:pPr>
        <w:ind w:firstLine="567"/>
        <w:jc w:val="both"/>
      </w:pPr>
    </w:p>
    <w:p w:rsidR="001402F8" w:rsidRDefault="001402F8" w:rsidP="00C53713">
      <w:pPr>
        <w:ind w:firstLine="567"/>
        <w:jc w:val="both"/>
      </w:pPr>
    </w:p>
    <w:p w:rsidR="001402F8" w:rsidRPr="0059499B" w:rsidRDefault="001402F8" w:rsidP="001402F8">
      <w:pPr>
        <w:pStyle w:val="1"/>
        <w:spacing w:before="0" w:after="0"/>
        <w:ind w:firstLine="709"/>
        <w:jc w:val="center"/>
        <w:rPr>
          <w:rFonts w:ascii="Times New Roman" w:hAnsi="Times New Roman" w:cs="Times New Roman"/>
          <w:b w:val="0"/>
          <w:iCs/>
          <w:sz w:val="24"/>
          <w:szCs w:val="24"/>
        </w:rPr>
      </w:pPr>
      <w:bookmarkStart w:id="2" w:name="_Hlt483802884"/>
      <w:r w:rsidRPr="0059499B">
        <w:rPr>
          <w:rFonts w:ascii="Times New Roman" w:hAnsi="Times New Roman" w:cs="Times New Roman"/>
          <w:b w:val="0"/>
          <w:iCs/>
          <w:color w:val="000000"/>
          <w:sz w:val="24"/>
          <w:szCs w:val="24"/>
        </w:rPr>
        <w:t xml:space="preserve">Заключение </w:t>
      </w:r>
      <w:r w:rsidRPr="0059499B">
        <w:rPr>
          <w:rFonts w:ascii="Times New Roman" w:hAnsi="Times New Roman" w:cs="Times New Roman"/>
          <w:b w:val="0"/>
          <w:iCs/>
          <w:sz w:val="24"/>
          <w:szCs w:val="24"/>
        </w:rPr>
        <w:t xml:space="preserve">региональной энергетической комиссии </w:t>
      </w:r>
    </w:p>
    <w:p w:rsidR="001402F8" w:rsidRPr="0059499B" w:rsidRDefault="001402F8" w:rsidP="001402F8">
      <w:pPr>
        <w:pStyle w:val="1"/>
        <w:spacing w:before="0" w:after="0"/>
        <w:ind w:firstLine="709"/>
        <w:jc w:val="center"/>
        <w:rPr>
          <w:rFonts w:ascii="Times New Roman" w:hAnsi="Times New Roman" w:cs="Times New Roman"/>
          <w:b w:val="0"/>
          <w:color w:val="000000"/>
          <w:sz w:val="24"/>
          <w:szCs w:val="24"/>
        </w:rPr>
      </w:pPr>
      <w:r w:rsidRPr="0059499B">
        <w:rPr>
          <w:rFonts w:ascii="Times New Roman" w:hAnsi="Times New Roman" w:cs="Times New Roman"/>
          <w:b w:val="0"/>
          <w:iCs/>
          <w:sz w:val="24"/>
          <w:szCs w:val="24"/>
        </w:rPr>
        <w:t>Кемеровской области</w:t>
      </w:r>
      <w:bookmarkEnd w:id="2"/>
      <w:r w:rsidRPr="0059499B">
        <w:rPr>
          <w:rFonts w:ascii="Times New Roman" w:hAnsi="Times New Roman" w:cs="Times New Roman"/>
          <w:b w:val="0"/>
          <w:iCs/>
          <w:sz w:val="24"/>
          <w:szCs w:val="24"/>
        </w:rPr>
        <w:t xml:space="preserve"> </w:t>
      </w:r>
      <w:r w:rsidRPr="0059499B">
        <w:rPr>
          <w:rFonts w:ascii="Times New Roman" w:hAnsi="Times New Roman" w:cs="Times New Roman"/>
          <w:b w:val="0"/>
          <w:color w:val="000000"/>
          <w:sz w:val="24"/>
          <w:szCs w:val="24"/>
        </w:rPr>
        <w:t xml:space="preserve">по уровню доходов и экономически обоснованных затрат на перевозку пассажиров железнодорожным транспортом в пригородном сообщении по </w:t>
      </w:r>
      <w:proofErr w:type="gramStart"/>
      <w:r w:rsidRPr="0059499B">
        <w:rPr>
          <w:rFonts w:ascii="Times New Roman" w:hAnsi="Times New Roman" w:cs="Times New Roman"/>
          <w:b w:val="0"/>
          <w:color w:val="000000"/>
          <w:sz w:val="24"/>
          <w:szCs w:val="24"/>
        </w:rPr>
        <w:t>маршруту  «</w:t>
      </w:r>
      <w:proofErr w:type="gramEnd"/>
      <w:r w:rsidRPr="0059499B">
        <w:rPr>
          <w:rFonts w:ascii="Times New Roman" w:hAnsi="Times New Roman" w:cs="Times New Roman"/>
          <w:b w:val="0"/>
          <w:color w:val="000000"/>
          <w:sz w:val="24"/>
          <w:szCs w:val="24"/>
        </w:rPr>
        <w:t xml:space="preserve">Новокузнецк – Северный –Новокузнецк- Чугунаш» </w:t>
      </w:r>
    </w:p>
    <w:p w:rsidR="001402F8" w:rsidRPr="0059499B" w:rsidRDefault="001402F8" w:rsidP="001402F8">
      <w:pPr>
        <w:pStyle w:val="1"/>
        <w:spacing w:before="0" w:after="0"/>
        <w:ind w:firstLine="709"/>
        <w:jc w:val="center"/>
        <w:rPr>
          <w:rFonts w:ascii="Times New Roman" w:hAnsi="Times New Roman" w:cs="Times New Roman"/>
          <w:b w:val="0"/>
          <w:color w:val="000000"/>
          <w:sz w:val="24"/>
          <w:szCs w:val="24"/>
        </w:rPr>
      </w:pPr>
      <w:r w:rsidRPr="0059499B">
        <w:rPr>
          <w:rFonts w:ascii="Times New Roman" w:hAnsi="Times New Roman" w:cs="Times New Roman"/>
          <w:b w:val="0"/>
          <w:color w:val="000000"/>
          <w:sz w:val="24"/>
          <w:szCs w:val="24"/>
        </w:rPr>
        <w:t xml:space="preserve">для АО «Кузбасс-пригород» </w:t>
      </w:r>
    </w:p>
    <w:p w:rsidR="001402F8" w:rsidRPr="00746BA8" w:rsidRDefault="001402F8" w:rsidP="001402F8">
      <w:pPr>
        <w:pStyle w:val="a6"/>
        <w:tabs>
          <w:tab w:val="left" w:pos="10206"/>
        </w:tabs>
        <w:ind w:firstLine="709"/>
        <w:jc w:val="center"/>
        <w:rPr>
          <w:color w:val="000000"/>
          <w:sz w:val="28"/>
          <w:szCs w:val="28"/>
        </w:rPr>
      </w:pPr>
    </w:p>
    <w:p w:rsidR="001402F8" w:rsidRDefault="001402F8" w:rsidP="001402F8"/>
    <w:p w:rsidR="001402F8" w:rsidRPr="001402F8" w:rsidRDefault="001402F8" w:rsidP="001402F8">
      <w:pPr>
        <w:ind w:firstLine="709"/>
        <w:jc w:val="both"/>
      </w:pPr>
      <w:r w:rsidRPr="001402F8">
        <w:t xml:space="preserve">В РЭК КО поступило обращение от АО «Кузбасс-пригород» о необходимости установления тарифов на </w:t>
      </w:r>
      <w:r w:rsidRPr="001402F8">
        <w:rPr>
          <w:lang w:val="x-none"/>
        </w:rPr>
        <w:t>перевозк</w:t>
      </w:r>
      <w:r w:rsidRPr="001402F8">
        <w:t>у</w:t>
      </w:r>
      <w:r w:rsidRPr="001402F8">
        <w:rPr>
          <w:lang w:val="x-none"/>
        </w:rPr>
        <w:t xml:space="preserve"> пассажиров железнодорожным транспортом в пригородном сообщении</w:t>
      </w:r>
      <w:r w:rsidRPr="001402F8">
        <w:t xml:space="preserve"> по </w:t>
      </w:r>
      <w:proofErr w:type="gramStart"/>
      <w:r w:rsidRPr="001402F8">
        <w:t>маршруту  «</w:t>
      </w:r>
      <w:proofErr w:type="gramEnd"/>
      <w:r w:rsidRPr="001402F8">
        <w:t xml:space="preserve">Новокузнецк – Северный – Новокузнецк- Чугунаш». </w:t>
      </w:r>
    </w:p>
    <w:p w:rsidR="001402F8" w:rsidRPr="001402F8" w:rsidRDefault="001402F8" w:rsidP="001402F8">
      <w:pPr>
        <w:ind w:firstLine="709"/>
        <w:jc w:val="both"/>
      </w:pPr>
      <w:r w:rsidRPr="001402F8">
        <w:t>Период курсирования пригородного поезда по маршруту «Новокузнецк – Северный –</w:t>
      </w:r>
      <w:proofErr w:type="spellStart"/>
      <w:r w:rsidRPr="001402F8">
        <w:t>Новокунецк</w:t>
      </w:r>
      <w:proofErr w:type="spellEnd"/>
      <w:r w:rsidRPr="001402F8">
        <w:t xml:space="preserve">- Чугунаш» с 17.11.2018 до 31.12.2019. Для организации движения на участке планируется по данным департамента транспорта и связи </w:t>
      </w:r>
      <w:proofErr w:type="gramStart"/>
      <w:r w:rsidRPr="001402F8">
        <w:t>КО использование</w:t>
      </w:r>
      <w:proofErr w:type="gramEnd"/>
      <w:r w:rsidRPr="001402F8">
        <w:t xml:space="preserve"> 4-вагонных составов серии ЭД-4М (1 вагон повышенной комфортности, 3 вагона – 3 класса).</w:t>
      </w:r>
    </w:p>
    <w:p w:rsidR="001402F8" w:rsidRPr="001402F8" w:rsidRDefault="001402F8" w:rsidP="001402F8">
      <w:pPr>
        <w:ind w:firstLine="709"/>
        <w:jc w:val="both"/>
      </w:pPr>
      <w:r w:rsidRPr="001402F8">
        <w:t xml:space="preserve">АО «Кузбасс-пригород» с целью привлечения пассажиров предлагает установить тарифы на проезд ниже экономически обоснованного уровня с разбивкой по уровню комфортности: для взрослых в обычном вагоне -  150 руб./поездка, в вагоне повышенной комфортности -  300 руб./поездка, для детей в обычном вагоне – 75 руб./поездка, в вагоне повышенной комфортности – 150 руб./поездка. </w:t>
      </w:r>
    </w:p>
    <w:p w:rsidR="001402F8" w:rsidRPr="001402F8" w:rsidRDefault="001402F8" w:rsidP="001402F8">
      <w:pPr>
        <w:ind w:firstLine="709"/>
        <w:jc w:val="both"/>
      </w:pPr>
      <w:r w:rsidRPr="001402F8">
        <w:t>Специалистом</w:t>
      </w:r>
      <w:r w:rsidRPr="001402F8">
        <w:rPr>
          <w:lang w:val="x-none"/>
        </w:rPr>
        <w:t xml:space="preserve"> региональной энергетической комиссии Кемеровской области </w:t>
      </w:r>
      <w:r w:rsidRPr="001402F8">
        <w:t xml:space="preserve">(далее – специалист) </w:t>
      </w:r>
      <w:r w:rsidRPr="001402F8">
        <w:rPr>
          <w:lang w:val="x-none"/>
        </w:rPr>
        <w:t xml:space="preserve">рассмотрено обоснование представленных материалов по расчету тарифов АО «Кузбасс-пригород» на перевозки пассажиров железнодорожным транспортом в пригородном сообщении </w:t>
      </w:r>
      <w:r w:rsidRPr="001402F8">
        <w:t>по маршруту «Новокузнецк – Северный-Новокузнецк - Чугунаш», проведен анализ экономической обоснованности расходов, произведен расчет доходов.</w:t>
      </w:r>
      <w:r w:rsidRPr="001402F8">
        <w:rPr>
          <w:lang w:val="x-none"/>
        </w:rPr>
        <w:t xml:space="preserve"> </w:t>
      </w:r>
      <w:r w:rsidRPr="001402F8">
        <w:t>Расчет расходов и доходов по данному маршруту представлен в приложении.</w:t>
      </w:r>
    </w:p>
    <w:p w:rsidR="001402F8" w:rsidRPr="001402F8" w:rsidRDefault="001402F8" w:rsidP="001402F8">
      <w:pPr>
        <w:ind w:firstLine="709"/>
        <w:jc w:val="both"/>
      </w:pPr>
      <w:r w:rsidRPr="001402F8">
        <w:t xml:space="preserve">При формировании расходов специалист опирался на положения  действующего законодательства 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ФАС России от 05.12.2017 № 1649/17 (далее–Методика 1649/17). </w:t>
      </w:r>
    </w:p>
    <w:p w:rsidR="001402F8" w:rsidRPr="001402F8" w:rsidRDefault="001402F8" w:rsidP="001402F8">
      <w:pPr>
        <w:ind w:firstLine="709"/>
        <w:jc w:val="both"/>
      </w:pPr>
      <w:r w:rsidRPr="001402F8">
        <w:t xml:space="preserve">При формировании экономически </w:t>
      </w:r>
      <w:proofErr w:type="gramStart"/>
      <w:r w:rsidRPr="001402F8">
        <w:t>обоснованных  затрат</w:t>
      </w:r>
      <w:proofErr w:type="gramEnd"/>
      <w:r w:rsidRPr="001402F8">
        <w:t xml:space="preserve"> и доходов по маршруту «Новокузнецк – Северный -Новокузнецк- Чугунаш» учтены следующие показатели:</w:t>
      </w:r>
    </w:p>
    <w:p w:rsidR="001402F8" w:rsidRPr="001402F8" w:rsidRDefault="001402F8" w:rsidP="001402F8">
      <w:pPr>
        <w:ind w:firstLine="709"/>
        <w:jc w:val="both"/>
      </w:pPr>
      <w:r w:rsidRPr="001402F8">
        <w:t xml:space="preserve">1. Объемные показатели работы пригородной железнодорожной компании на период с 17.11.2018 по 31.12.2019 </w:t>
      </w:r>
      <w:proofErr w:type="gramStart"/>
      <w:r w:rsidRPr="001402F8">
        <w:t>принимаются  согласно</w:t>
      </w:r>
      <w:proofErr w:type="gramEnd"/>
      <w:r w:rsidRPr="001402F8">
        <w:t xml:space="preserve"> данным, предоставленным департаментом транспорта и связи Кемеровской области,</w:t>
      </w:r>
      <w:r w:rsidRPr="001402F8">
        <w:rPr>
          <w:color w:val="FF0000"/>
        </w:rPr>
        <w:t xml:space="preserve"> </w:t>
      </w:r>
      <w:r w:rsidRPr="001402F8">
        <w:t>в следующем размере:</w:t>
      </w:r>
    </w:p>
    <w:p w:rsidR="001402F8" w:rsidRPr="001402F8" w:rsidRDefault="001402F8" w:rsidP="001402F8">
      <w:pPr>
        <w:ind w:firstLine="709"/>
        <w:jc w:val="both"/>
      </w:pPr>
      <w:r w:rsidRPr="001402F8">
        <w:t xml:space="preserve">- 110,88 тыс. </w:t>
      </w:r>
      <w:proofErr w:type="spellStart"/>
      <w:r w:rsidRPr="001402F8">
        <w:t>вагоно</w:t>
      </w:r>
      <w:proofErr w:type="spellEnd"/>
      <w:r w:rsidRPr="001402F8">
        <w:t xml:space="preserve">-км, в том числе с 17.11.2018 по 31.12.2018 – 23,76 тыс. </w:t>
      </w:r>
      <w:proofErr w:type="spellStart"/>
      <w:r w:rsidRPr="001402F8">
        <w:t>вагоно</w:t>
      </w:r>
      <w:proofErr w:type="spellEnd"/>
      <w:r w:rsidRPr="001402F8">
        <w:t xml:space="preserve">-км, с 01.01.2019 по 31.12.2019 – 87,12 тыс. </w:t>
      </w:r>
      <w:proofErr w:type="spellStart"/>
      <w:r w:rsidRPr="001402F8">
        <w:t>вагоно</w:t>
      </w:r>
      <w:proofErr w:type="spellEnd"/>
      <w:r w:rsidRPr="001402F8">
        <w:t>-км;</w:t>
      </w:r>
    </w:p>
    <w:p w:rsidR="001402F8" w:rsidRPr="001402F8" w:rsidRDefault="001402F8" w:rsidP="001402F8">
      <w:pPr>
        <w:ind w:firstLine="709"/>
        <w:jc w:val="both"/>
      </w:pPr>
      <w:r w:rsidRPr="001402F8">
        <w:t xml:space="preserve">- 2,24 тыс. </w:t>
      </w:r>
      <w:proofErr w:type="spellStart"/>
      <w:r w:rsidRPr="001402F8">
        <w:t>вагоно</w:t>
      </w:r>
      <w:proofErr w:type="spellEnd"/>
      <w:r w:rsidRPr="001402F8">
        <w:t xml:space="preserve">-часов, в том числе с 17.11.2018 по 31.12.2018 – 0,48 тыс. </w:t>
      </w:r>
      <w:proofErr w:type="spellStart"/>
      <w:r w:rsidRPr="001402F8">
        <w:t>вагоно</w:t>
      </w:r>
      <w:proofErr w:type="spellEnd"/>
      <w:r w:rsidRPr="001402F8">
        <w:t xml:space="preserve">-часов, с 01.01.2019 по 31.12.2019 – 1,76 тыс. </w:t>
      </w:r>
      <w:proofErr w:type="spellStart"/>
      <w:r w:rsidRPr="001402F8">
        <w:t>вагоно</w:t>
      </w:r>
      <w:proofErr w:type="spellEnd"/>
      <w:r w:rsidRPr="001402F8">
        <w:t>-км;</w:t>
      </w:r>
    </w:p>
    <w:p w:rsidR="001402F8" w:rsidRPr="001402F8" w:rsidRDefault="001402F8" w:rsidP="001402F8">
      <w:pPr>
        <w:ind w:firstLine="709"/>
        <w:jc w:val="both"/>
      </w:pPr>
      <w:r w:rsidRPr="001402F8">
        <w:t xml:space="preserve">- 0,56 тыс. </w:t>
      </w:r>
      <w:proofErr w:type="spellStart"/>
      <w:r w:rsidRPr="001402F8">
        <w:t>поездо</w:t>
      </w:r>
      <w:proofErr w:type="spellEnd"/>
      <w:r w:rsidRPr="001402F8">
        <w:t xml:space="preserve">-часов, в том числе с 17.11.2018 по 31.12.2018 – 0,12 тыс. </w:t>
      </w:r>
      <w:proofErr w:type="spellStart"/>
      <w:r w:rsidRPr="001402F8">
        <w:t>поездо</w:t>
      </w:r>
      <w:proofErr w:type="spellEnd"/>
      <w:r w:rsidRPr="001402F8">
        <w:t xml:space="preserve">-часов, с 01.01.2019 по 31.12.2019 – 0,44 тыс. </w:t>
      </w:r>
      <w:proofErr w:type="spellStart"/>
      <w:r w:rsidRPr="001402F8">
        <w:t>поездо</w:t>
      </w:r>
      <w:proofErr w:type="spellEnd"/>
      <w:r w:rsidRPr="001402F8">
        <w:t>-часов.</w:t>
      </w:r>
    </w:p>
    <w:p w:rsidR="001402F8" w:rsidRPr="001402F8" w:rsidRDefault="001402F8" w:rsidP="001402F8">
      <w:pPr>
        <w:ind w:firstLine="709"/>
        <w:jc w:val="both"/>
      </w:pPr>
      <w:r w:rsidRPr="001402F8">
        <w:t xml:space="preserve"> Количество отправленных (перевезенных) пассажиров на период с 17.11.2018 по 31.12.2019 </w:t>
      </w:r>
      <w:proofErr w:type="gramStart"/>
      <w:r w:rsidRPr="001402F8">
        <w:t>принимаются  согласно</w:t>
      </w:r>
      <w:proofErr w:type="gramEnd"/>
      <w:r w:rsidRPr="001402F8">
        <w:t xml:space="preserve"> данным, предоставленным департаментом транспорта и связи Кемеровской области, в следующем размере: 17501 чел., в том числе с 17.11.2018 по 31.12.2018 – 3750 чел, с 01.01.2019 по 31.12.2019 – 13751 чел. Распределение пассажиров в зависимости от уровня комфортности вагонов представлено в приложении.</w:t>
      </w:r>
    </w:p>
    <w:p w:rsidR="001402F8" w:rsidRPr="001402F8" w:rsidRDefault="001402F8" w:rsidP="001402F8">
      <w:pPr>
        <w:ind w:firstLine="709"/>
        <w:jc w:val="both"/>
      </w:pPr>
      <w:r w:rsidRPr="001402F8">
        <w:lastRenderedPageBreak/>
        <w:t xml:space="preserve">Пассажирооборот принимается согласно информации, предоставленной департаментом транспорта и связи Кемеровской области, на уровне 2970,34 тыс. </w:t>
      </w:r>
      <w:proofErr w:type="spellStart"/>
      <w:r w:rsidRPr="001402F8">
        <w:t>пассажиро</w:t>
      </w:r>
      <w:proofErr w:type="spellEnd"/>
      <w:r w:rsidRPr="001402F8">
        <w:t xml:space="preserve">-км, в том числе с 17.11.2018 по 31.12.2018 – 636,501 тыс. </w:t>
      </w:r>
      <w:proofErr w:type="spellStart"/>
      <w:r w:rsidRPr="001402F8">
        <w:t>пассажиро</w:t>
      </w:r>
      <w:proofErr w:type="spellEnd"/>
      <w:r w:rsidRPr="001402F8">
        <w:t xml:space="preserve">-км, с 01.01.2019 по 31.12.2019 – 2333,837 тыс. </w:t>
      </w:r>
      <w:proofErr w:type="spellStart"/>
      <w:r w:rsidRPr="001402F8">
        <w:t>пассажиро</w:t>
      </w:r>
      <w:proofErr w:type="spellEnd"/>
      <w:r w:rsidRPr="001402F8">
        <w:t>-км.</w:t>
      </w:r>
    </w:p>
    <w:p w:rsidR="001402F8" w:rsidRPr="001402F8" w:rsidRDefault="001402F8" w:rsidP="001402F8">
      <w:pPr>
        <w:ind w:firstLine="709"/>
        <w:jc w:val="both"/>
        <w:rPr>
          <w:lang w:val="x-none"/>
        </w:rPr>
      </w:pPr>
      <w:r w:rsidRPr="001402F8">
        <w:t>2. Экономически обоснованный уровень</w:t>
      </w:r>
      <w:r w:rsidRPr="001402F8">
        <w:rPr>
          <w:lang w:val="x-none"/>
        </w:rPr>
        <w:t xml:space="preserve"> расход</w:t>
      </w:r>
      <w:r w:rsidRPr="001402F8">
        <w:t>ов</w:t>
      </w:r>
      <w:r w:rsidRPr="001402F8">
        <w:rPr>
          <w:lang w:val="x-none"/>
        </w:rPr>
        <w:t xml:space="preserve"> АО «Кузбасс-пригород» на перевозк</w:t>
      </w:r>
      <w:r w:rsidRPr="001402F8">
        <w:t>у</w:t>
      </w:r>
      <w:r w:rsidRPr="001402F8">
        <w:rPr>
          <w:lang w:val="x-none"/>
        </w:rPr>
        <w:t xml:space="preserve"> пассажиров железнодорожным транспортом пригородного сообщения </w:t>
      </w:r>
      <w:r w:rsidRPr="001402F8">
        <w:t xml:space="preserve">по маршруту «Новокузнецк – Северный –Новокузнецк- Чугунаш» </w:t>
      </w:r>
      <w:r w:rsidRPr="001402F8">
        <w:rPr>
          <w:lang w:val="x-none"/>
        </w:rPr>
        <w:t>состав</w:t>
      </w:r>
      <w:r w:rsidRPr="001402F8">
        <w:t>ил</w:t>
      </w:r>
      <w:r w:rsidRPr="001402F8">
        <w:rPr>
          <w:lang w:val="x-none"/>
        </w:rPr>
        <w:t xml:space="preserve"> </w:t>
      </w:r>
      <w:r w:rsidRPr="001402F8">
        <w:t>6360,9</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1482,86 </w:t>
      </w:r>
      <w:proofErr w:type="spellStart"/>
      <w:r w:rsidRPr="001402F8">
        <w:t>тыс.руб</w:t>
      </w:r>
      <w:proofErr w:type="spellEnd"/>
      <w:r w:rsidRPr="001402F8">
        <w:t xml:space="preserve">., с 01.01.2019 по 31.12.2019 – 4878,04 </w:t>
      </w:r>
      <w:proofErr w:type="spellStart"/>
      <w:r w:rsidRPr="001402F8">
        <w:t>тыс.руб</w:t>
      </w:r>
      <w:proofErr w:type="spellEnd"/>
      <w:r w:rsidRPr="001402F8">
        <w:t>.</w:t>
      </w:r>
    </w:p>
    <w:p w:rsidR="001402F8" w:rsidRPr="001402F8" w:rsidRDefault="001402F8" w:rsidP="001402F8">
      <w:pPr>
        <w:ind w:firstLine="709"/>
        <w:jc w:val="both"/>
        <w:rPr>
          <w:lang w:val="x-none"/>
        </w:rPr>
      </w:pPr>
      <w:r w:rsidRPr="001402F8">
        <w:t xml:space="preserve">2.1. Специфические расходы (прямые производственные) </w:t>
      </w:r>
      <w:r w:rsidRPr="001402F8">
        <w:rPr>
          <w:lang w:val="x-none"/>
        </w:rPr>
        <w:t xml:space="preserve">АО «Кузбасс-пригород» </w:t>
      </w:r>
      <w:r w:rsidRPr="001402F8">
        <w:t>составили 1150,71тыс</w:t>
      </w:r>
      <w:r w:rsidRPr="001402F8">
        <w:rPr>
          <w:lang w:val="x-none"/>
        </w:rPr>
        <w:t>. руб.</w:t>
      </w:r>
      <w:r w:rsidRPr="001402F8">
        <w:t xml:space="preserve">, в том числе с 17.11.2018 по 31.12.2018 – 400,41 </w:t>
      </w:r>
      <w:proofErr w:type="spellStart"/>
      <w:r w:rsidRPr="001402F8">
        <w:t>тыс.руб</w:t>
      </w:r>
      <w:proofErr w:type="spellEnd"/>
      <w:r w:rsidRPr="001402F8">
        <w:t xml:space="preserve">., с 01.01.2019 по 31.12.2019 – 750,30 </w:t>
      </w:r>
      <w:proofErr w:type="spellStart"/>
      <w:r w:rsidRPr="001402F8">
        <w:t>тыс.руб</w:t>
      </w:r>
      <w:proofErr w:type="spellEnd"/>
      <w:r w:rsidRPr="001402F8">
        <w:t>. Данные расходы включают в себя:</w:t>
      </w:r>
    </w:p>
    <w:p w:rsidR="001402F8" w:rsidRPr="001402F8" w:rsidRDefault="001402F8" w:rsidP="001402F8">
      <w:pPr>
        <w:pStyle w:val="af3"/>
        <w:numPr>
          <w:ilvl w:val="2"/>
          <w:numId w:val="11"/>
        </w:numPr>
        <w:ind w:left="0" w:firstLine="709"/>
        <w:jc w:val="both"/>
        <w:rPr>
          <w:lang w:val="x-none"/>
        </w:rPr>
      </w:pPr>
      <w:r w:rsidRPr="001402F8">
        <w:rPr>
          <w:lang w:val="x-none"/>
        </w:rPr>
        <w:t xml:space="preserve">Материалы </w:t>
      </w:r>
      <w:r w:rsidRPr="001402F8">
        <w:t>в сумме</w:t>
      </w:r>
      <w:r w:rsidRPr="001402F8">
        <w:rPr>
          <w:lang w:val="x-none"/>
        </w:rPr>
        <w:t xml:space="preserve"> </w:t>
      </w:r>
      <w:r w:rsidRPr="001402F8">
        <w:t>57,71</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11,99 </w:t>
      </w:r>
      <w:proofErr w:type="spellStart"/>
      <w:r w:rsidRPr="001402F8">
        <w:t>тыс.руб</w:t>
      </w:r>
      <w:proofErr w:type="spellEnd"/>
      <w:r w:rsidRPr="001402F8">
        <w:t xml:space="preserve">., с 01.01.2019 по 31.12.2019 – 45,72 </w:t>
      </w:r>
      <w:proofErr w:type="spellStart"/>
      <w:r w:rsidRPr="001402F8">
        <w:t>тыс.руб</w:t>
      </w:r>
      <w:proofErr w:type="spellEnd"/>
      <w:r w:rsidRPr="001402F8">
        <w:t xml:space="preserve">. принимаются согласно расшифровке организации. </w:t>
      </w:r>
    </w:p>
    <w:p w:rsidR="001402F8" w:rsidRPr="001402F8" w:rsidRDefault="001402F8" w:rsidP="001402F8">
      <w:pPr>
        <w:pStyle w:val="af3"/>
        <w:numPr>
          <w:ilvl w:val="2"/>
          <w:numId w:val="11"/>
        </w:numPr>
        <w:ind w:left="0" w:firstLine="709"/>
        <w:jc w:val="both"/>
        <w:rPr>
          <w:lang w:val="x-none"/>
        </w:rPr>
      </w:pPr>
      <w:r w:rsidRPr="001402F8">
        <w:t>О</w:t>
      </w:r>
      <w:r w:rsidRPr="001402F8">
        <w:rPr>
          <w:lang w:val="x-none"/>
        </w:rPr>
        <w:t>плат</w:t>
      </w:r>
      <w:r w:rsidRPr="001402F8">
        <w:t>а</w:t>
      </w:r>
      <w:r w:rsidRPr="001402F8">
        <w:rPr>
          <w:lang w:val="x-none"/>
        </w:rPr>
        <w:t xml:space="preserve"> труда </w:t>
      </w:r>
      <w:r w:rsidRPr="001402F8">
        <w:t xml:space="preserve">персонала </w:t>
      </w:r>
      <w:r w:rsidRPr="001402F8">
        <w:rPr>
          <w:lang w:val="x-none"/>
        </w:rPr>
        <w:t xml:space="preserve">составит </w:t>
      </w:r>
      <w:r w:rsidRPr="001402F8">
        <w:t>288,59</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59,96 </w:t>
      </w:r>
      <w:proofErr w:type="spellStart"/>
      <w:r w:rsidRPr="001402F8">
        <w:t>тыс.руб</w:t>
      </w:r>
      <w:proofErr w:type="spellEnd"/>
      <w:r w:rsidRPr="001402F8">
        <w:t xml:space="preserve">., с 01.01.2019 по 31.12.2019 – 228,64 </w:t>
      </w:r>
      <w:proofErr w:type="spellStart"/>
      <w:r w:rsidRPr="001402F8">
        <w:t>тыс.руб</w:t>
      </w:r>
      <w:proofErr w:type="spellEnd"/>
      <w:r w:rsidRPr="001402F8">
        <w:t xml:space="preserve">. </w:t>
      </w:r>
      <w:r w:rsidRPr="001402F8">
        <w:rPr>
          <w:lang w:val="x-none"/>
        </w:rPr>
        <w:t xml:space="preserve">– </w:t>
      </w:r>
      <w:r w:rsidRPr="001402F8">
        <w:t xml:space="preserve">согласно представленному расчету </w:t>
      </w:r>
      <w:proofErr w:type="gramStart"/>
      <w:r w:rsidRPr="001402F8">
        <w:t>организации</w:t>
      </w:r>
      <w:proofErr w:type="gramEnd"/>
      <w:r w:rsidRPr="001402F8">
        <w:t xml:space="preserve"> исходя из плановых дней курсирования электропоезда в соответствии с штатным расписанием. На 2019 год к уровню заработной платы применен индекс Минэкономразвития 104,0.</w:t>
      </w:r>
    </w:p>
    <w:p w:rsidR="001402F8" w:rsidRPr="001402F8" w:rsidRDefault="001402F8" w:rsidP="001402F8">
      <w:pPr>
        <w:numPr>
          <w:ilvl w:val="2"/>
          <w:numId w:val="11"/>
        </w:numPr>
        <w:ind w:left="0" w:firstLine="709"/>
        <w:jc w:val="both"/>
        <w:rPr>
          <w:lang w:val="x-none"/>
        </w:rPr>
      </w:pPr>
      <w:r w:rsidRPr="001402F8">
        <w:rPr>
          <w:lang w:val="x-none"/>
        </w:rPr>
        <w:t>Страховые взносы от расходов на оплату труда –</w:t>
      </w:r>
      <w:r w:rsidRPr="001402F8">
        <w:t xml:space="preserve"> 87,74</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18,23 </w:t>
      </w:r>
      <w:proofErr w:type="spellStart"/>
      <w:r w:rsidRPr="001402F8">
        <w:t>тыс.руб</w:t>
      </w:r>
      <w:proofErr w:type="spellEnd"/>
      <w:r w:rsidRPr="001402F8">
        <w:t xml:space="preserve">., с 01.01.2019 по 31.12.2019 – 69,50 </w:t>
      </w:r>
      <w:proofErr w:type="spellStart"/>
      <w:r w:rsidRPr="001402F8">
        <w:t>тыс.руб</w:t>
      </w:r>
      <w:proofErr w:type="spellEnd"/>
      <w:r w:rsidRPr="001402F8">
        <w:t xml:space="preserve">. в доле от оплаты труда по предложению предприятия. </w:t>
      </w:r>
    </w:p>
    <w:p w:rsidR="001402F8" w:rsidRPr="001402F8" w:rsidRDefault="001402F8" w:rsidP="001402F8">
      <w:pPr>
        <w:numPr>
          <w:ilvl w:val="2"/>
          <w:numId w:val="11"/>
        </w:numPr>
        <w:ind w:left="0" w:firstLine="709"/>
        <w:jc w:val="both"/>
        <w:rPr>
          <w:lang w:val="x-none"/>
        </w:rPr>
      </w:pPr>
      <w:r w:rsidRPr="001402F8">
        <w:rPr>
          <w:lang w:val="x-none"/>
        </w:rPr>
        <w:t xml:space="preserve">Прочие материальные затраты – </w:t>
      </w:r>
      <w:r w:rsidRPr="001402F8">
        <w:t xml:space="preserve">84,68 </w:t>
      </w:r>
      <w:proofErr w:type="spellStart"/>
      <w:r w:rsidRPr="001402F8">
        <w:rPr>
          <w:lang w:val="x-none"/>
        </w:rPr>
        <w:t>тыс.руб</w:t>
      </w:r>
      <w:proofErr w:type="spellEnd"/>
      <w:r w:rsidRPr="001402F8">
        <w:t xml:space="preserve">., в том числе с 17.11.2018 по 31.12.2018 – 84,68 </w:t>
      </w:r>
      <w:proofErr w:type="spellStart"/>
      <w:r w:rsidRPr="001402F8">
        <w:t>тыс.руб</w:t>
      </w:r>
      <w:proofErr w:type="spellEnd"/>
      <w:r w:rsidRPr="001402F8">
        <w:t xml:space="preserve">.-включают расходы на обустройство вагонов парковочными местами для горнолыжного оборудования и </w:t>
      </w:r>
      <w:proofErr w:type="spellStart"/>
      <w:r w:rsidRPr="001402F8">
        <w:t>тематичесое</w:t>
      </w:r>
      <w:proofErr w:type="spellEnd"/>
      <w:r w:rsidRPr="001402F8">
        <w:t xml:space="preserve"> оформление вагонов согласно расшифровкам организации.</w:t>
      </w:r>
    </w:p>
    <w:p w:rsidR="001402F8" w:rsidRPr="001402F8" w:rsidRDefault="001402F8" w:rsidP="001402F8">
      <w:pPr>
        <w:numPr>
          <w:ilvl w:val="2"/>
          <w:numId w:val="11"/>
        </w:numPr>
        <w:ind w:left="0" w:firstLine="709"/>
        <w:jc w:val="both"/>
      </w:pPr>
      <w:r w:rsidRPr="001402F8">
        <w:rPr>
          <w:lang w:val="x-none"/>
        </w:rPr>
        <w:t xml:space="preserve">Прочие  расходы компании -  </w:t>
      </w:r>
      <w:r w:rsidRPr="001402F8">
        <w:t>631,99</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225,55 </w:t>
      </w:r>
      <w:proofErr w:type="spellStart"/>
      <w:r w:rsidRPr="001402F8">
        <w:t>тыс.руб</w:t>
      </w:r>
      <w:proofErr w:type="spellEnd"/>
      <w:r w:rsidRPr="001402F8">
        <w:t xml:space="preserve">., с 01.01.2019 по 31.12.2019 – 406,44 </w:t>
      </w:r>
      <w:proofErr w:type="spellStart"/>
      <w:r w:rsidRPr="001402F8">
        <w:t>тыс.руб</w:t>
      </w:r>
      <w:proofErr w:type="spellEnd"/>
      <w:r w:rsidRPr="001402F8">
        <w:t xml:space="preserve">.– по предложению предприятия. Включают расходы на охрану, сформированные исходя из стоимости работы 2 охранников на 17 часов, оплата почасовая (курсирование поезда по расписанию 16 часов 40 минут). </w:t>
      </w:r>
    </w:p>
    <w:p w:rsidR="001402F8" w:rsidRPr="001402F8" w:rsidRDefault="001402F8" w:rsidP="001402F8">
      <w:pPr>
        <w:pStyle w:val="af3"/>
        <w:numPr>
          <w:ilvl w:val="1"/>
          <w:numId w:val="11"/>
        </w:numPr>
        <w:ind w:left="0" w:firstLine="709"/>
        <w:jc w:val="both"/>
        <w:rPr>
          <w:lang w:val="x-none"/>
        </w:rPr>
      </w:pPr>
      <w:r w:rsidRPr="001402F8">
        <w:t>Расходы на услуги ОАО «РЖД», связанные с арендой подвижного состава по маршруту «Новокузнецк – Северный Новокузнецк- Чугунаш» сформированы на 2018 год с учетом ставок ОАО «РЖД» на 2018 год. На 2019 год к ставкам применен индекс Минэкономразвития 104,0 в соответствии с действующим законодательством. Расходы по данной статье составят 4976,74</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1033,95 </w:t>
      </w:r>
      <w:proofErr w:type="spellStart"/>
      <w:r w:rsidRPr="001402F8">
        <w:t>тыс.руб</w:t>
      </w:r>
      <w:proofErr w:type="spellEnd"/>
      <w:r w:rsidRPr="001402F8">
        <w:t xml:space="preserve">., с 01.01.2019 по 31.12.2019 – 3942,79 </w:t>
      </w:r>
      <w:proofErr w:type="spellStart"/>
      <w:r w:rsidRPr="001402F8">
        <w:t>тыс.руб</w:t>
      </w:r>
      <w:proofErr w:type="spellEnd"/>
      <w:r w:rsidRPr="001402F8">
        <w:t>. из них по статьям затрат:</w:t>
      </w:r>
    </w:p>
    <w:p w:rsidR="001402F8" w:rsidRPr="001402F8" w:rsidRDefault="001402F8" w:rsidP="001402F8">
      <w:pPr>
        <w:ind w:firstLine="709"/>
        <w:jc w:val="both"/>
      </w:pPr>
      <w:r w:rsidRPr="001402F8">
        <w:t>2.2.1.     «Использование инфраструктуры железнодорожного транспорта» – 48,13</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10 </w:t>
      </w:r>
      <w:proofErr w:type="spellStart"/>
      <w:r w:rsidRPr="001402F8">
        <w:t>тыс.руб</w:t>
      </w:r>
      <w:proofErr w:type="spellEnd"/>
      <w:r w:rsidRPr="001402F8">
        <w:t xml:space="preserve">., с 01.01.2019 по 31.12.2019 – 38,13 </w:t>
      </w:r>
      <w:proofErr w:type="spellStart"/>
      <w:r w:rsidRPr="001402F8">
        <w:t>тыс.руб</w:t>
      </w:r>
      <w:proofErr w:type="spellEnd"/>
      <w:r w:rsidRPr="001402F8">
        <w:t>.- по предложению АО «Кузбасс-пригород».</w:t>
      </w:r>
    </w:p>
    <w:p w:rsidR="001402F8" w:rsidRPr="001402F8" w:rsidRDefault="001402F8" w:rsidP="001402F8">
      <w:pPr>
        <w:ind w:firstLine="709"/>
        <w:jc w:val="both"/>
      </w:pPr>
      <w:r w:rsidRPr="001402F8">
        <w:t xml:space="preserve">2.2.2.    «Плата за пользование подвижным составом» – 391,75 </w:t>
      </w:r>
      <w:proofErr w:type="spellStart"/>
      <w:r w:rsidRPr="001402F8">
        <w:t>тыс</w:t>
      </w:r>
      <w:proofErr w:type="spellEnd"/>
      <w:r w:rsidRPr="001402F8">
        <w:rPr>
          <w:lang w:val="x-none"/>
        </w:rPr>
        <w:t>. руб.</w:t>
      </w:r>
      <w:r w:rsidRPr="001402F8">
        <w:t xml:space="preserve">, в том числе с 17.11.2018 по 31.12.2018 – 81,39 </w:t>
      </w:r>
      <w:proofErr w:type="spellStart"/>
      <w:r w:rsidRPr="001402F8">
        <w:t>тыс.руб</w:t>
      </w:r>
      <w:proofErr w:type="spellEnd"/>
      <w:r w:rsidRPr="001402F8">
        <w:t xml:space="preserve">., с 01.01.2019 по 31.12.2019 – 310,36 </w:t>
      </w:r>
      <w:proofErr w:type="spellStart"/>
      <w:r w:rsidRPr="001402F8">
        <w:t>тыс.руб</w:t>
      </w:r>
      <w:proofErr w:type="spellEnd"/>
      <w:r w:rsidRPr="001402F8">
        <w:t>.- по предложению АО «Кузбасс-пригород».</w:t>
      </w:r>
    </w:p>
    <w:p w:rsidR="001402F8" w:rsidRPr="001402F8" w:rsidRDefault="001402F8" w:rsidP="001402F8">
      <w:pPr>
        <w:ind w:firstLine="709"/>
        <w:jc w:val="both"/>
      </w:pPr>
      <w:r w:rsidRPr="001402F8">
        <w:t>2.2.3. «Управление и эксплуатация подвижного состава при осуществлении пригородных пассажирских перевозок» 3140,47</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652,45 </w:t>
      </w:r>
      <w:proofErr w:type="spellStart"/>
      <w:r w:rsidRPr="001402F8">
        <w:t>тыс.руб</w:t>
      </w:r>
      <w:proofErr w:type="spellEnd"/>
      <w:r w:rsidRPr="001402F8">
        <w:t xml:space="preserve">., с 01.01.2019 по 31.12.2019 – 2488,02 </w:t>
      </w:r>
      <w:proofErr w:type="spellStart"/>
      <w:r w:rsidRPr="001402F8">
        <w:t>тыс.руб</w:t>
      </w:r>
      <w:proofErr w:type="spellEnd"/>
      <w:r w:rsidRPr="001402F8">
        <w:t>.- по предложению АО «Кузбасс-пригород».</w:t>
      </w:r>
    </w:p>
    <w:p w:rsidR="001402F8" w:rsidRPr="001402F8" w:rsidRDefault="001402F8" w:rsidP="001402F8">
      <w:pPr>
        <w:ind w:firstLine="709"/>
        <w:jc w:val="both"/>
      </w:pPr>
      <w:r w:rsidRPr="001402F8">
        <w:t>2.2.4.  «Расходы на ремонт подвижного состава», а именно: техническое обслуживание, текущий и капитальный ремонт подвижного состава 1396,39</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290,11 </w:t>
      </w:r>
      <w:proofErr w:type="spellStart"/>
      <w:r w:rsidRPr="001402F8">
        <w:t>тыс.руб</w:t>
      </w:r>
      <w:proofErr w:type="spellEnd"/>
      <w:r w:rsidRPr="001402F8">
        <w:t xml:space="preserve">., с 01.01.2019 по 31.12.2019 – 1106,28 </w:t>
      </w:r>
      <w:proofErr w:type="spellStart"/>
      <w:r w:rsidRPr="001402F8">
        <w:t>тыс.руб</w:t>
      </w:r>
      <w:proofErr w:type="spellEnd"/>
      <w:r w:rsidRPr="001402F8">
        <w:t>.- по предложению АО «Кузбасс-пригород», а именно:</w:t>
      </w:r>
    </w:p>
    <w:p w:rsidR="001402F8" w:rsidRPr="001402F8" w:rsidRDefault="001402F8" w:rsidP="001402F8">
      <w:pPr>
        <w:ind w:firstLine="709"/>
        <w:jc w:val="both"/>
      </w:pPr>
      <w:r w:rsidRPr="001402F8">
        <w:lastRenderedPageBreak/>
        <w:t>2.2.4.1. расходы на техническое обслуживание в сумме 454,03</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94,33 </w:t>
      </w:r>
      <w:proofErr w:type="spellStart"/>
      <w:r w:rsidRPr="001402F8">
        <w:t>тыс.руб</w:t>
      </w:r>
      <w:proofErr w:type="spellEnd"/>
      <w:r w:rsidRPr="001402F8">
        <w:t xml:space="preserve">., с 01.01.2019 по 31.12.2019 – 359,70 </w:t>
      </w:r>
      <w:proofErr w:type="spellStart"/>
      <w:r w:rsidRPr="001402F8">
        <w:t>тыс.руб</w:t>
      </w:r>
      <w:proofErr w:type="spellEnd"/>
      <w:r w:rsidRPr="001402F8">
        <w:t>.- по предложению АО «Кузбасс-пригород»,</w:t>
      </w:r>
    </w:p>
    <w:p w:rsidR="001402F8" w:rsidRPr="001402F8" w:rsidRDefault="001402F8" w:rsidP="001402F8">
      <w:pPr>
        <w:ind w:firstLine="709"/>
        <w:jc w:val="both"/>
      </w:pPr>
      <w:r w:rsidRPr="001402F8">
        <w:t xml:space="preserve">2.2.4.2. расходы </w:t>
      </w:r>
      <w:proofErr w:type="gramStart"/>
      <w:r w:rsidRPr="001402F8">
        <w:t>на  текущий</w:t>
      </w:r>
      <w:proofErr w:type="gramEnd"/>
      <w:r w:rsidRPr="001402F8">
        <w:t xml:space="preserve"> ремонт в сумме 430,01</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89,34 </w:t>
      </w:r>
      <w:proofErr w:type="spellStart"/>
      <w:r w:rsidRPr="001402F8">
        <w:t>тыс.руб</w:t>
      </w:r>
      <w:proofErr w:type="spellEnd"/>
      <w:r w:rsidRPr="001402F8">
        <w:t xml:space="preserve">., с 01.01.2019 по 31.12.2019 – 340,67 </w:t>
      </w:r>
      <w:proofErr w:type="spellStart"/>
      <w:r w:rsidRPr="001402F8">
        <w:t>тыс.руб</w:t>
      </w:r>
      <w:proofErr w:type="spellEnd"/>
      <w:r w:rsidRPr="001402F8">
        <w:t>.- по предложению АО «Кузбасс-пригород»,</w:t>
      </w:r>
    </w:p>
    <w:p w:rsidR="001402F8" w:rsidRPr="001402F8" w:rsidRDefault="001402F8" w:rsidP="001402F8">
      <w:pPr>
        <w:ind w:firstLine="709"/>
        <w:jc w:val="both"/>
      </w:pPr>
      <w:r w:rsidRPr="001402F8">
        <w:t>2.2.4.3. расходы на капитальный ремонт в размере 512,35</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106,45 </w:t>
      </w:r>
      <w:proofErr w:type="spellStart"/>
      <w:r w:rsidRPr="001402F8">
        <w:t>тыс.руб</w:t>
      </w:r>
      <w:proofErr w:type="spellEnd"/>
      <w:r w:rsidRPr="001402F8">
        <w:t xml:space="preserve">., с 01.01.2019 по 31.12.2019 – 405,91 </w:t>
      </w:r>
      <w:proofErr w:type="spellStart"/>
      <w:r w:rsidRPr="001402F8">
        <w:t>тыс.руб</w:t>
      </w:r>
      <w:proofErr w:type="spellEnd"/>
      <w:r w:rsidRPr="001402F8">
        <w:t>.- по предложению АО «Кузбасс-пригород».</w:t>
      </w:r>
    </w:p>
    <w:p w:rsidR="001402F8" w:rsidRPr="001402F8" w:rsidRDefault="001402F8" w:rsidP="001402F8">
      <w:pPr>
        <w:ind w:firstLine="709"/>
        <w:jc w:val="both"/>
      </w:pPr>
      <w:r w:rsidRPr="001402F8">
        <w:t xml:space="preserve">2.3. Общехозяйственные и общепроизводственные расходы (счет 26) учтены в размере 219,4 </w:t>
      </w:r>
      <w:proofErr w:type="spellStart"/>
      <w:r w:rsidRPr="001402F8">
        <w:t>тыс</w:t>
      </w:r>
      <w:proofErr w:type="spellEnd"/>
      <w:r w:rsidRPr="001402F8">
        <w:rPr>
          <w:lang w:val="x-none"/>
        </w:rPr>
        <w:t>. руб.</w:t>
      </w:r>
      <w:r w:rsidRPr="001402F8">
        <w:t xml:space="preserve">, в том числе с 17.11.2018 по 31.12.2018 – 45,58 </w:t>
      </w:r>
      <w:proofErr w:type="spellStart"/>
      <w:r w:rsidRPr="001402F8">
        <w:t>тыс.руб</w:t>
      </w:r>
      <w:proofErr w:type="spellEnd"/>
      <w:r w:rsidRPr="001402F8">
        <w:t xml:space="preserve">., с 01.01.2019 по 31.12.2019 – 173,82 </w:t>
      </w:r>
      <w:proofErr w:type="spellStart"/>
      <w:r w:rsidRPr="001402F8">
        <w:t>тыс.руб</w:t>
      </w:r>
      <w:proofErr w:type="spellEnd"/>
      <w:r w:rsidRPr="001402F8">
        <w:t xml:space="preserve">. На 2018 год расходы определены- согласно факту 2017 года по предоставленной </w:t>
      </w:r>
      <w:proofErr w:type="spellStart"/>
      <w:r w:rsidRPr="001402F8">
        <w:t>оборотно</w:t>
      </w:r>
      <w:proofErr w:type="spellEnd"/>
      <w:r w:rsidRPr="001402F8">
        <w:t xml:space="preserve">-сальдовой ведомости по счету 26 с учетом изменения доли, приходящейся на Кемеровскую область в результате изменения прямых расходов в связи с добавлением расходов по маршруту «Новокузнецк – Северный – Новокузнецк- Чугунаш» (с учетом предъявленных) (распределение прилагается). При этом амортизация для распределения по видам деятельности принимается </w:t>
      </w:r>
      <w:proofErr w:type="gramStart"/>
      <w:r w:rsidRPr="001402F8">
        <w:t>согласно плана</w:t>
      </w:r>
      <w:proofErr w:type="gramEnd"/>
      <w:r w:rsidRPr="001402F8">
        <w:t xml:space="preserve"> 2018 года, сформированного органом регулирования. Распределение расходов по видам деятельности произведено согласно учетной политике организации – пропорционально прямым расходам (с учетом предъявленных). На 2019 год расходы принимаются по плану 2018 года в пересчете на дни курсирования электропоезда (55 дней) с индексом Минэкономразвития 104,0. Согласно п. 15 постановления Правительства РФ от 05.08.2009 № 643 органы регулирования при определении экономически обоснованных затрат вправе не учитывать (исключать из расчетной базы) необоснованные расходы субъекта регулирования, вызванные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Из состава общехозяйственных и общепроизводственных расходов исключены на основании п. 15 постановления Правительства РФ от 05.08.2009 № 643 экономически необоснованные и нецелесообразные расходы, а именно: услуги психолога, добровольное страхование КАСКО, расходы на рекламу, расходы по организация проведения закупок ТД "РЖД" т.к. в штатном расписании организации числится инженер по проведению закупок, консультационные услуги по вопросу консультирования и обучение требованиям международного стандарта </w:t>
      </w:r>
      <w:r w:rsidRPr="001402F8">
        <w:rPr>
          <w:lang w:val="en-US"/>
        </w:rPr>
        <w:t>ISO</w:t>
      </w:r>
      <w:r w:rsidRPr="001402F8">
        <w:t xml:space="preserve"> т.к. данные расходы не являются обязательными для выполнения пригородных пассажирских перевозок.</w:t>
      </w:r>
    </w:p>
    <w:p w:rsidR="001402F8" w:rsidRPr="001402F8" w:rsidRDefault="001402F8" w:rsidP="001402F8">
      <w:pPr>
        <w:ind w:firstLine="709"/>
        <w:jc w:val="both"/>
      </w:pPr>
      <w:r w:rsidRPr="001402F8">
        <w:t>2.4. Прочие расходы (счет 91) учтены в размере 14,04</w:t>
      </w:r>
      <w:r w:rsidRPr="001402F8">
        <w:rPr>
          <w:lang w:val="x-none"/>
        </w:rPr>
        <w:t xml:space="preserve"> </w:t>
      </w:r>
      <w:proofErr w:type="spellStart"/>
      <w:r w:rsidRPr="001402F8">
        <w:t>тыс</w:t>
      </w:r>
      <w:proofErr w:type="spellEnd"/>
      <w:r w:rsidRPr="001402F8">
        <w:rPr>
          <w:lang w:val="x-none"/>
        </w:rPr>
        <w:t>. руб.</w:t>
      </w:r>
      <w:r w:rsidRPr="001402F8">
        <w:t xml:space="preserve">, в том числе с 17.11.2018 по 31.12.2018 – 2,92 </w:t>
      </w:r>
      <w:proofErr w:type="spellStart"/>
      <w:r w:rsidRPr="001402F8">
        <w:t>тыс.руб</w:t>
      </w:r>
      <w:proofErr w:type="spellEnd"/>
      <w:r w:rsidRPr="001402F8">
        <w:t xml:space="preserve">., с 01.01.2019 по 31.12.2019 – 11,12 </w:t>
      </w:r>
      <w:proofErr w:type="spellStart"/>
      <w:r w:rsidRPr="001402F8">
        <w:t>тыс.руб</w:t>
      </w:r>
      <w:proofErr w:type="spellEnd"/>
      <w:r w:rsidRPr="001402F8">
        <w:t>.- согласно плана 2018 года, принятого органом регулирования, с учетом изменения доли, приходящейся на Кемеровскую область в результате изменения расходов в связи с добавлением расходов по маршруту «Новокузнецк – Северный – Новокузнецк- Чугунаш». За основу при определении базы распределения принимается план 2018 года, определенный регулирующим органом. Распределение расходов по видам деятельности произведено согласно учетной политике организации (в приложении). На 2019 год расходы принимаются по плану 2018 года в пересчете на дни курсирования электропоезда (55 дней) с индексом Минэкономразвития 104,0.</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3. Доходы компании по маршруту «Новокузнецк – Северный –Новокузнецк- Чугунаш» составят 6360,90</w:t>
      </w:r>
      <w:r w:rsidRPr="001402F8">
        <w:rPr>
          <w:color w:val="000000"/>
          <w:shd w:val="clear" w:color="auto" w:fill="FFFFFF" w:themeFill="background1"/>
          <w:lang w:val="x-none"/>
        </w:rPr>
        <w:t xml:space="preserve"> </w:t>
      </w:r>
      <w:proofErr w:type="spellStart"/>
      <w:r w:rsidRPr="001402F8">
        <w:rPr>
          <w:color w:val="000000"/>
          <w:shd w:val="clear" w:color="auto" w:fill="FFFFFF" w:themeFill="background1"/>
        </w:rPr>
        <w:t>тыс</w:t>
      </w:r>
      <w:proofErr w:type="spellEnd"/>
      <w:r w:rsidRPr="001402F8">
        <w:rPr>
          <w:color w:val="000000"/>
          <w:shd w:val="clear" w:color="auto" w:fill="FFFFFF" w:themeFill="background1"/>
          <w:lang w:val="x-none"/>
        </w:rPr>
        <w:t>. руб.</w:t>
      </w:r>
      <w:r w:rsidRPr="001402F8">
        <w:rPr>
          <w:color w:val="000000"/>
          <w:shd w:val="clear" w:color="auto" w:fill="FFFFFF" w:themeFill="background1"/>
        </w:rPr>
        <w:t xml:space="preserve">, в том числе с 17.11.2018 по 31.12.2018 – 1482,86 </w:t>
      </w:r>
      <w:proofErr w:type="spellStart"/>
      <w:r w:rsidRPr="001402F8">
        <w:rPr>
          <w:color w:val="000000"/>
          <w:shd w:val="clear" w:color="auto" w:fill="FFFFFF" w:themeFill="background1"/>
        </w:rPr>
        <w:t>тыс.руб</w:t>
      </w:r>
      <w:proofErr w:type="spellEnd"/>
      <w:r w:rsidRPr="001402F8">
        <w:rPr>
          <w:color w:val="000000"/>
          <w:shd w:val="clear" w:color="auto" w:fill="FFFFFF" w:themeFill="background1"/>
        </w:rPr>
        <w:t xml:space="preserve">., с 01.01.2019 по 31.12.2019 – 4878,04 </w:t>
      </w:r>
      <w:proofErr w:type="spellStart"/>
      <w:r w:rsidRPr="001402F8">
        <w:rPr>
          <w:color w:val="000000"/>
          <w:shd w:val="clear" w:color="auto" w:fill="FFFFFF" w:themeFill="background1"/>
        </w:rPr>
        <w:t>тыс.руб</w:t>
      </w:r>
      <w:proofErr w:type="spellEnd"/>
      <w:r w:rsidRPr="001402F8">
        <w:rPr>
          <w:color w:val="000000"/>
          <w:shd w:val="clear" w:color="auto" w:fill="FFFFFF" w:themeFill="background1"/>
        </w:rPr>
        <w:t>.</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Согласно п. 8 главы I  Методики 1649/17 экономически обоснованный уровень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предусматривает предельный минимальный уровень рентабельности (1% к сумме прямых производственных затрат)</w:t>
      </w:r>
      <w:r w:rsidRPr="001402F8">
        <w:t xml:space="preserve"> </w:t>
      </w:r>
      <w:r w:rsidRPr="001402F8">
        <w:rPr>
          <w:color w:val="000000"/>
          <w:shd w:val="clear" w:color="auto" w:fill="FFFFFF" w:themeFill="background1"/>
        </w:rPr>
        <w:t xml:space="preserve">которая может быть направлена на улучшение транспортного обслуживания населения, развитие технической и </w:t>
      </w:r>
      <w:r w:rsidRPr="001402F8">
        <w:rPr>
          <w:color w:val="000000"/>
          <w:shd w:val="clear" w:color="auto" w:fill="FFFFFF" w:themeFill="background1"/>
        </w:rPr>
        <w:lastRenderedPageBreak/>
        <w:t xml:space="preserve">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 которые согласуются субъектом Российской Федерации. По </w:t>
      </w:r>
      <w:proofErr w:type="gramStart"/>
      <w:r w:rsidRPr="001402F8">
        <w:rPr>
          <w:color w:val="000000"/>
          <w:shd w:val="clear" w:color="auto" w:fill="FFFFFF" w:themeFill="background1"/>
        </w:rPr>
        <w:t>пояснению  АО</w:t>
      </w:r>
      <w:proofErr w:type="gramEnd"/>
      <w:r w:rsidRPr="001402F8">
        <w:rPr>
          <w:color w:val="000000"/>
          <w:shd w:val="clear" w:color="auto" w:fill="FFFFFF" w:themeFill="background1"/>
        </w:rPr>
        <w:t xml:space="preserve"> «Кузбасс-пригород» рентабельность планируется направить на цели: приобретение системы речевой записи и выплаты неработающим пенсионерам по коллективному договору. Однако данные расходы не включаются  регулирующим органом по причине того, что расходы на амортизацию аудио регистраторов переговоров (системы речевой записи) для переговорных устройств пассажир-кассир считаем нерациональными и нецелесообразными и подлежащими исключению из состава финансовых потребностей на осуществление пригородных пассажирских перевозок железнодорожным транспортом на территории Кемеровской области.</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 xml:space="preserve">Данные регистраторы переговоров нужны для контроля за дисциплиной работников и разбора конфликтных ситуаций между пассажиром и кассиром. Использование данного оборудования не является необходимым условием для осуществления деятельности кассиров. Процесс оформления билета для пассажира может осуществляться без записи переговоров.  </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Согласно п. 15 постановления Правительства РФ от 05.08.2009 № 643 органы регулирования при определении экономически обоснованных затрат вправе не учитывать (исключать из расчетной базы) необоснованные расходы субъекта регулирования, вызванные нерациональным использованием производственных ресурсов.</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Разногласия по включению данных расходов уже рассматривались в Кемеровском областном суде. Позицию регулирующего органа была поддержана Кемеровским областным судом в решении по делу № 3-496/2015.</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 xml:space="preserve">Кроме того, ОАО «Кузбасс-пригород» заявляло требования по учету расходов по амортизации аудио регистраторов в рамках двух досудебных рассмотрений споров с региональной энергетической комиссией Кемеровской области (исх. от 15.03.2016 № 190, </w:t>
      </w:r>
      <w:proofErr w:type="spellStart"/>
      <w:r w:rsidRPr="001402F8">
        <w:rPr>
          <w:color w:val="000000"/>
          <w:shd w:val="clear" w:color="auto" w:fill="FFFFFF" w:themeFill="background1"/>
        </w:rPr>
        <w:t>вх</w:t>
      </w:r>
      <w:proofErr w:type="spellEnd"/>
      <w:r w:rsidRPr="001402F8">
        <w:rPr>
          <w:color w:val="000000"/>
          <w:shd w:val="clear" w:color="auto" w:fill="FFFFFF" w:themeFill="background1"/>
        </w:rPr>
        <w:t xml:space="preserve">. от 29.03.2016 № 40946/16 и </w:t>
      </w:r>
      <w:proofErr w:type="spellStart"/>
      <w:r w:rsidRPr="001402F8">
        <w:rPr>
          <w:color w:val="000000"/>
          <w:shd w:val="clear" w:color="auto" w:fill="FFFFFF" w:themeFill="background1"/>
        </w:rPr>
        <w:t>вх</w:t>
      </w:r>
      <w:proofErr w:type="spellEnd"/>
      <w:r w:rsidRPr="001402F8">
        <w:rPr>
          <w:color w:val="000000"/>
          <w:shd w:val="clear" w:color="auto" w:fill="FFFFFF" w:themeFill="background1"/>
        </w:rPr>
        <w:t xml:space="preserve">. от 28.03.2017 №44813/17) в ФАС России. В удовлетворении требований оба раза было отказано. </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Выплаты неработающим пенсионерам также не принимаются к расчету т.к. данные расходы не предусмотрены Методикой 1649/17, не обязательны для осуществления пригородных пассажирских перевозок, организация несет данные расходы добровольно.</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 xml:space="preserve">Затраты на социальные выплаты сверх уровня, предусмотренного законодательством -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 xml:space="preserve">Расходы на выплаты неработающим сотрудникам компании, а именно -пенсионерам и проезд неработающих пенсионеров - считаем нерациональными в сложившихся условиях хозяйствования. </w:t>
      </w:r>
    </w:p>
    <w:p w:rsid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 xml:space="preserve">Позиция регулирующего органа по поводу невключения в затраты выплат неработающим пенсионерам уже была рассмотрена в ФАС России. Решением ФАС России о частичном удовлетворении требований ОАО «Кузбасс-пригород» о досудебном рассмотрении спора с региональной энергетической комиссией Кемеровской области (исх. от 15.03.2016 №190, </w:t>
      </w:r>
      <w:proofErr w:type="spellStart"/>
      <w:r w:rsidRPr="001402F8">
        <w:rPr>
          <w:color w:val="000000"/>
          <w:shd w:val="clear" w:color="auto" w:fill="FFFFFF" w:themeFill="background1"/>
        </w:rPr>
        <w:t>вх</w:t>
      </w:r>
      <w:proofErr w:type="spellEnd"/>
      <w:r w:rsidRPr="001402F8">
        <w:rPr>
          <w:color w:val="000000"/>
          <w:shd w:val="clear" w:color="auto" w:fill="FFFFFF" w:themeFill="background1"/>
        </w:rPr>
        <w:t>. от 29.03.2016 №40946/16) решение РЭК Кемеровской области о непринятии данных расходов поддержано.</w:t>
      </w:r>
    </w:p>
    <w:p w:rsidR="0059499B" w:rsidRDefault="0059499B" w:rsidP="001402F8">
      <w:pPr>
        <w:pStyle w:val="a6"/>
        <w:ind w:firstLine="720"/>
        <w:jc w:val="both"/>
        <w:rPr>
          <w:color w:val="000000"/>
          <w:shd w:val="clear" w:color="auto" w:fill="FFFFFF" w:themeFill="background1"/>
        </w:rPr>
      </w:pPr>
    </w:p>
    <w:p w:rsidR="001402F8" w:rsidRPr="001402F8" w:rsidRDefault="001402F8" w:rsidP="001402F8">
      <w:pPr>
        <w:pStyle w:val="a6"/>
        <w:ind w:firstLine="720"/>
        <w:jc w:val="both"/>
        <w:rPr>
          <w:color w:val="000000"/>
          <w:shd w:val="clear" w:color="auto" w:fill="FFFFFF" w:themeFill="background1"/>
        </w:rPr>
      </w:pPr>
      <w:r w:rsidRPr="001402F8">
        <w:rPr>
          <w:color w:val="000000"/>
          <w:shd w:val="clear" w:color="auto" w:fill="FFFFFF" w:themeFill="background1"/>
        </w:rPr>
        <w:t>Предлагаем установить тарифы на следующем уровне:</w:t>
      </w:r>
    </w:p>
    <w:p w:rsidR="001402F8" w:rsidRPr="001402F8" w:rsidRDefault="001402F8" w:rsidP="001402F8">
      <w:pPr>
        <w:pStyle w:val="a6"/>
        <w:ind w:firstLine="720"/>
        <w:jc w:val="both"/>
        <w:rPr>
          <w:shd w:val="clear" w:color="auto" w:fill="FFFFFF" w:themeFill="background1"/>
        </w:rPr>
      </w:pPr>
      <w:r w:rsidRPr="001402F8">
        <w:rPr>
          <w:shd w:val="clear" w:color="auto" w:fill="FFFFFF" w:themeFill="background1"/>
        </w:rPr>
        <w:lastRenderedPageBreak/>
        <w:t xml:space="preserve">Тариф на услугу по перевозке пассажиров железнодорожным транспортом в пригородном сообщении по маршруту «Новокузнецк – Северный - Чугунаш» на экономически обоснованном уровне в размере 2,14 рублей за </w:t>
      </w:r>
      <w:proofErr w:type="spellStart"/>
      <w:r w:rsidRPr="001402F8">
        <w:rPr>
          <w:shd w:val="clear" w:color="auto" w:fill="FFFFFF" w:themeFill="background1"/>
        </w:rPr>
        <w:t>пассажиро</w:t>
      </w:r>
      <w:proofErr w:type="spellEnd"/>
      <w:r w:rsidRPr="001402F8">
        <w:rPr>
          <w:shd w:val="clear" w:color="auto" w:fill="FFFFFF" w:themeFill="background1"/>
        </w:rPr>
        <w:t>-километр.</w:t>
      </w:r>
    </w:p>
    <w:p w:rsidR="001402F8" w:rsidRPr="001402F8" w:rsidRDefault="001402F8" w:rsidP="001402F8">
      <w:pPr>
        <w:pStyle w:val="a6"/>
        <w:ind w:firstLine="720"/>
        <w:jc w:val="both"/>
        <w:rPr>
          <w:shd w:val="clear" w:color="auto" w:fill="FFFFFF" w:themeFill="background1"/>
        </w:rPr>
      </w:pPr>
      <w:r w:rsidRPr="001402F8">
        <w:rPr>
          <w:shd w:val="clear" w:color="auto" w:fill="FFFFFF" w:themeFill="background1"/>
        </w:rPr>
        <w:t>Тариф на услугу по перевозке пассажиров железнодорожным транспортом в пригородном сообщении по маршруту «Новокузнецк - Северный - Чугунаш» в размере 150 рублей за поездку – по предложению АО «Кузбасс-пригород».</w:t>
      </w:r>
    </w:p>
    <w:p w:rsidR="001402F8" w:rsidRPr="001402F8" w:rsidRDefault="001402F8" w:rsidP="001402F8">
      <w:pPr>
        <w:pStyle w:val="a6"/>
        <w:ind w:firstLine="720"/>
        <w:jc w:val="both"/>
        <w:rPr>
          <w:shd w:val="clear" w:color="auto" w:fill="FFFFFF" w:themeFill="background1"/>
        </w:rPr>
      </w:pPr>
      <w:r w:rsidRPr="001402F8">
        <w:rPr>
          <w:shd w:val="clear" w:color="auto" w:fill="FFFFFF" w:themeFill="background1"/>
        </w:rPr>
        <w:t xml:space="preserve">Тариф на услугу по перевозке пассажиров железнодорожным транспортом в пригородном сообщении по маршруту «Новокузнецк - Северный - Чугунаш» в вагоне повышенной комфортности в размере 300 </w:t>
      </w:r>
      <w:proofErr w:type="gramStart"/>
      <w:r w:rsidRPr="001402F8">
        <w:rPr>
          <w:shd w:val="clear" w:color="auto" w:fill="FFFFFF" w:themeFill="background1"/>
        </w:rPr>
        <w:t>рублей  за</w:t>
      </w:r>
      <w:proofErr w:type="gramEnd"/>
      <w:r w:rsidRPr="001402F8">
        <w:rPr>
          <w:shd w:val="clear" w:color="auto" w:fill="FFFFFF" w:themeFill="background1"/>
        </w:rPr>
        <w:t xml:space="preserve"> поездку– по предложению АО «Кузбасс-пригород».</w:t>
      </w:r>
    </w:p>
    <w:p w:rsidR="001402F8" w:rsidRPr="001402F8" w:rsidRDefault="001402F8" w:rsidP="001402F8">
      <w:pPr>
        <w:pStyle w:val="a6"/>
        <w:ind w:firstLine="720"/>
        <w:jc w:val="both"/>
        <w:rPr>
          <w:shd w:val="clear" w:color="auto" w:fill="FFFFFF" w:themeFill="background1"/>
        </w:rPr>
      </w:pPr>
      <w:r w:rsidRPr="001402F8">
        <w:rPr>
          <w:shd w:val="clear" w:color="auto" w:fill="FFFFFF" w:themeFill="background1"/>
        </w:rPr>
        <w:t>Тариф на услугу по перевозке детей в возрасте от 5 до 7 лет железнодорожным транспортом в пригородном сообщении по маршруту «Новокузнецк - Северный - Чугунаш» в размере 75 рублей за поездку– по предложению АО «Кузбасс-пригород».</w:t>
      </w:r>
    </w:p>
    <w:p w:rsidR="001402F8" w:rsidRPr="001402F8" w:rsidRDefault="001402F8" w:rsidP="001402F8">
      <w:pPr>
        <w:pStyle w:val="a6"/>
        <w:ind w:firstLine="720"/>
        <w:jc w:val="both"/>
        <w:rPr>
          <w:shd w:val="clear" w:color="auto" w:fill="FFFFFF" w:themeFill="background1"/>
        </w:rPr>
      </w:pPr>
      <w:r w:rsidRPr="001402F8">
        <w:rPr>
          <w:shd w:val="clear" w:color="auto" w:fill="FFFFFF" w:themeFill="background1"/>
        </w:rPr>
        <w:t>Тариф на услугу по перевозке детей в возрасте от 5 до 7 лет железнодорожным транспортом в пригородном сообщении по маршруту «Новокузнецк - Северный - Чугунаш» в вагоне повышенной комфортности в размере 150 рублей за поездку– по предложению АО «Кузбасс-пригород».</w:t>
      </w:r>
    </w:p>
    <w:p w:rsidR="001402F8" w:rsidRDefault="001402F8" w:rsidP="001402F8">
      <w:pPr>
        <w:pStyle w:val="a6"/>
        <w:ind w:firstLine="720"/>
        <w:jc w:val="both"/>
        <w:rPr>
          <w:sz w:val="28"/>
          <w:szCs w:val="28"/>
        </w:rPr>
        <w:sectPr w:rsidR="001402F8" w:rsidSect="000B47A5">
          <w:headerReference w:type="default" r:id="rId8"/>
          <w:pgSz w:w="11906" w:h="16838"/>
          <w:pgMar w:top="1134" w:right="850" w:bottom="851" w:left="1560" w:header="708" w:footer="708" w:gutter="0"/>
          <w:cols w:space="708"/>
          <w:titlePg/>
          <w:docGrid w:linePitch="360"/>
        </w:sectPr>
      </w:pPr>
      <w:r w:rsidRPr="001402F8">
        <w:rPr>
          <w:shd w:val="clear" w:color="auto" w:fill="FFFFFF" w:themeFill="background1"/>
        </w:rPr>
        <w:t xml:space="preserve">Субсидия из бюджета составит 3610,27 </w:t>
      </w:r>
      <w:proofErr w:type="spellStart"/>
      <w:r w:rsidRPr="001402F8">
        <w:rPr>
          <w:shd w:val="clear" w:color="auto" w:fill="FFFFFF" w:themeFill="background1"/>
        </w:rPr>
        <w:t>тыс</w:t>
      </w:r>
      <w:proofErr w:type="spellEnd"/>
      <w:r w:rsidRPr="001402F8">
        <w:rPr>
          <w:shd w:val="clear" w:color="auto" w:fill="FFFFFF" w:themeFill="background1"/>
          <w:lang w:val="x-none"/>
        </w:rPr>
        <w:t>. руб.</w:t>
      </w:r>
      <w:r w:rsidRPr="001402F8">
        <w:rPr>
          <w:shd w:val="clear" w:color="auto" w:fill="FFFFFF" w:themeFill="background1"/>
        </w:rPr>
        <w:t xml:space="preserve">, в том числе с 17.11.2018 по 31.12.2018 – 893,51 </w:t>
      </w:r>
      <w:proofErr w:type="spellStart"/>
      <w:r w:rsidRPr="001402F8">
        <w:rPr>
          <w:shd w:val="clear" w:color="auto" w:fill="FFFFFF" w:themeFill="background1"/>
        </w:rPr>
        <w:t>тыс.руб</w:t>
      </w:r>
      <w:proofErr w:type="spellEnd"/>
      <w:r w:rsidRPr="001402F8">
        <w:rPr>
          <w:shd w:val="clear" w:color="auto" w:fill="FFFFFF" w:themeFill="background1"/>
        </w:rPr>
        <w:t xml:space="preserve">., с 01.01.2019 по 31.12.2019 – 2716,76 </w:t>
      </w:r>
      <w:proofErr w:type="spellStart"/>
      <w:r w:rsidRPr="001402F8">
        <w:rPr>
          <w:shd w:val="clear" w:color="auto" w:fill="FFFFFF" w:themeFill="background1"/>
        </w:rPr>
        <w:t>тыс.руб</w:t>
      </w:r>
      <w:proofErr w:type="spellEnd"/>
      <w:r w:rsidRPr="001402F8">
        <w:rPr>
          <w:shd w:val="clear" w:color="auto" w:fill="FFFFFF" w:themeFill="background1"/>
        </w:rPr>
        <w:t>.</w:t>
      </w:r>
      <w:r>
        <w:rPr>
          <w:sz w:val="28"/>
          <w:szCs w:val="28"/>
        </w:rPr>
        <w:tab/>
      </w:r>
    </w:p>
    <w:p w:rsidR="001402F8" w:rsidRPr="001402F8" w:rsidRDefault="001402F8" w:rsidP="001402F8">
      <w:pPr>
        <w:tabs>
          <w:tab w:val="left" w:pos="3375"/>
        </w:tabs>
        <w:jc w:val="right"/>
        <w:rPr>
          <w:noProof/>
        </w:rPr>
      </w:pPr>
      <w:r w:rsidRPr="001402F8">
        <w:lastRenderedPageBreak/>
        <w:t>Приложение 1</w:t>
      </w:r>
    </w:p>
    <w:p w:rsidR="001402F8" w:rsidRDefault="001402F8" w:rsidP="001402F8">
      <w:pPr>
        <w:tabs>
          <w:tab w:val="left" w:pos="780"/>
        </w:tabs>
        <w:rPr>
          <w:noProof/>
        </w:rPr>
      </w:pPr>
      <w:r w:rsidRPr="004C7EBF">
        <w:rPr>
          <w:noProof/>
        </w:rPr>
        <w:drawing>
          <wp:inline distT="0" distB="0" distL="0" distR="0" wp14:anchorId="575EDD22" wp14:editId="6D563605">
            <wp:extent cx="9753600" cy="5953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7417" cy="5955455"/>
                    </a:xfrm>
                    <a:prstGeom prst="rect">
                      <a:avLst/>
                    </a:prstGeom>
                    <a:noFill/>
                    <a:ln>
                      <a:noFill/>
                    </a:ln>
                  </pic:spPr>
                </pic:pic>
              </a:graphicData>
            </a:graphic>
          </wp:inline>
        </w:drawing>
      </w:r>
    </w:p>
    <w:p w:rsidR="001402F8" w:rsidRDefault="001402F8" w:rsidP="001402F8">
      <w:pPr>
        <w:tabs>
          <w:tab w:val="left" w:pos="780"/>
        </w:tabs>
        <w:jc w:val="right"/>
        <w:rPr>
          <w:sz w:val="28"/>
          <w:szCs w:val="28"/>
        </w:rPr>
      </w:pPr>
      <w:r w:rsidRPr="004C7EBF">
        <w:rPr>
          <w:noProof/>
        </w:rPr>
        <w:lastRenderedPageBreak/>
        <w:drawing>
          <wp:inline distT="0" distB="0" distL="0" distR="0" wp14:anchorId="1F634166" wp14:editId="3DD0A8F7">
            <wp:extent cx="9572625" cy="671449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2719" cy="6714556"/>
                    </a:xfrm>
                    <a:prstGeom prst="rect">
                      <a:avLst/>
                    </a:prstGeom>
                    <a:noFill/>
                    <a:ln>
                      <a:noFill/>
                    </a:ln>
                  </pic:spPr>
                </pic:pic>
              </a:graphicData>
            </a:graphic>
          </wp:inline>
        </w:drawing>
      </w:r>
    </w:p>
    <w:p w:rsidR="001402F8" w:rsidRPr="0059499B" w:rsidRDefault="001402F8" w:rsidP="001402F8">
      <w:pPr>
        <w:tabs>
          <w:tab w:val="left" w:pos="780"/>
        </w:tabs>
        <w:jc w:val="right"/>
      </w:pPr>
      <w:r w:rsidRPr="0059499B">
        <w:lastRenderedPageBreak/>
        <w:t>Приложение 2</w:t>
      </w:r>
    </w:p>
    <w:p w:rsidR="001402F8" w:rsidRDefault="001402F8" w:rsidP="001402F8">
      <w:pPr>
        <w:tabs>
          <w:tab w:val="left" w:pos="780"/>
        </w:tabs>
        <w:jc w:val="right"/>
        <w:rPr>
          <w:sz w:val="28"/>
          <w:szCs w:val="28"/>
        </w:rPr>
      </w:pPr>
    </w:p>
    <w:p w:rsidR="001402F8" w:rsidRPr="003A59B1" w:rsidRDefault="001402F8" w:rsidP="001402F8">
      <w:pPr>
        <w:rPr>
          <w:sz w:val="28"/>
          <w:szCs w:val="28"/>
        </w:rPr>
      </w:pPr>
      <w:r w:rsidRPr="00F52A54">
        <w:rPr>
          <w:noProof/>
        </w:rPr>
        <w:drawing>
          <wp:inline distT="0" distB="0" distL="0" distR="0" wp14:anchorId="08EEED71" wp14:editId="5117B622">
            <wp:extent cx="9431655" cy="33961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1655" cy="3396116"/>
                    </a:xfrm>
                    <a:prstGeom prst="rect">
                      <a:avLst/>
                    </a:prstGeom>
                    <a:noFill/>
                    <a:ln>
                      <a:noFill/>
                    </a:ln>
                  </pic:spPr>
                </pic:pic>
              </a:graphicData>
            </a:graphic>
          </wp:inline>
        </w:drawing>
      </w:r>
    </w:p>
    <w:p w:rsidR="001402F8" w:rsidRDefault="001402F8" w:rsidP="00C53713">
      <w:pPr>
        <w:ind w:firstLine="567"/>
        <w:jc w:val="both"/>
      </w:pPr>
    </w:p>
    <w:sectPr w:rsidR="001402F8" w:rsidSect="001402F8">
      <w:pgSz w:w="16838" w:h="11906" w:orient="landscape"/>
      <w:pgMar w:top="993"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EAC" w:rsidRDefault="00237EAC">
      <w:r>
        <w:separator/>
      </w:r>
    </w:p>
  </w:endnote>
  <w:endnote w:type="continuationSeparator" w:id="0">
    <w:p w:rsidR="00237EAC" w:rsidRDefault="0023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EAC" w:rsidRDefault="00237EAC">
      <w:r>
        <w:separator/>
      </w:r>
    </w:p>
  </w:footnote>
  <w:footnote w:type="continuationSeparator" w:id="0">
    <w:p w:rsidR="00237EAC" w:rsidRDefault="0023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Content>
      <w:p w:rsidR="000B47A5" w:rsidRDefault="000B47A5">
        <w:pPr>
          <w:pStyle w:val="a8"/>
          <w:jc w:val="center"/>
        </w:pPr>
        <w:r>
          <w:fldChar w:fldCharType="begin"/>
        </w:r>
        <w:r>
          <w:instrText>PAGE   \* MERGEFORMAT</w:instrText>
        </w:r>
        <w:r>
          <w:fldChar w:fldCharType="separate"/>
        </w:r>
        <w:r>
          <w:t>2</w:t>
        </w:r>
        <w:r>
          <w:fldChar w:fldCharType="end"/>
        </w:r>
      </w:p>
    </w:sdtContent>
  </w:sdt>
  <w:p w:rsidR="000B47A5" w:rsidRDefault="000B47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7" w15:restartNumberingAfterBreak="0">
    <w:nsid w:val="22EF681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8" w15:restartNumberingAfterBreak="0">
    <w:nsid w:val="28C9605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AE55CA"/>
    <w:multiLevelType w:val="hybridMultilevel"/>
    <w:tmpl w:val="D42A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F97382"/>
    <w:multiLevelType w:val="multilevel"/>
    <w:tmpl w:val="55C84DF6"/>
    <w:lvl w:ilvl="0">
      <w:start w:val="1"/>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2" w15:restartNumberingAfterBreak="0">
    <w:nsid w:val="77401337"/>
    <w:multiLevelType w:val="multilevel"/>
    <w:tmpl w:val="C1544A40"/>
    <w:lvl w:ilvl="0">
      <w:start w:val="2"/>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14"/>
  </w:num>
  <w:num w:numId="2">
    <w:abstractNumId w:val="0"/>
  </w:num>
  <w:num w:numId="3">
    <w:abstractNumId w:val="1"/>
  </w:num>
  <w:num w:numId="4">
    <w:abstractNumId w:val="15"/>
  </w:num>
  <w:num w:numId="5">
    <w:abstractNumId w:val="19"/>
  </w:num>
  <w:num w:numId="6">
    <w:abstractNumId w:val="20"/>
  </w:num>
  <w:num w:numId="7">
    <w:abstractNumId w:val="18"/>
  </w:num>
  <w:num w:numId="8">
    <w:abstractNumId w:val="17"/>
  </w:num>
  <w:num w:numId="9">
    <w:abstractNumId w:val="16"/>
  </w:num>
  <w:num w:numId="10">
    <w:abstractNumId w:val="21"/>
  </w:num>
  <w:num w:numId="1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97EC0"/>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98874B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6C75-2D7C-438B-9ED9-8842F30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10</Pages>
  <Words>2462</Words>
  <Characters>17347</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19770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Ксения Юхневич</cp:lastModifiedBy>
  <cp:revision>118</cp:revision>
  <cp:lastPrinted>2018-09-10T07:36:00Z</cp:lastPrinted>
  <dcterms:created xsi:type="dcterms:W3CDTF">2018-06-07T03:09:00Z</dcterms:created>
  <dcterms:modified xsi:type="dcterms:W3CDTF">2018-09-10T07:37:00Z</dcterms:modified>
</cp:coreProperties>
</file>