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766286" w:rsidRDefault="00A34DA3"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 xml:space="preserve">РЕГИОНАЛЬНАЯ ЭНЕРГЕТИЧЕСКАЯ КОМИССИЯ  </w: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КЕМЕРОВСКОЙ ОБЛАСТИ</w:t>
      </w:r>
    </w:p>
    <w:p w:rsidR="00E63A6F" w:rsidRPr="00766286" w:rsidRDefault="00E63A6F" w:rsidP="00A05DF6">
      <w:pPr>
        <w:autoSpaceDE w:val="0"/>
        <w:autoSpaceDN w:val="0"/>
        <w:adjustRightInd w:val="0"/>
        <w:ind w:left="709"/>
        <w:jc w:val="center"/>
        <w:rPr>
          <w:b/>
          <w:bCs/>
          <w:sz w:val="28"/>
          <w:szCs w:val="28"/>
        </w:rPr>
      </w:pPr>
    </w:p>
    <w:p w:rsidR="008C19A2" w:rsidRPr="00766286" w:rsidRDefault="008C19A2" w:rsidP="00A05DF6">
      <w:pPr>
        <w:autoSpaceDE w:val="0"/>
        <w:autoSpaceDN w:val="0"/>
        <w:adjustRightInd w:val="0"/>
        <w:ind w:left="709"/>
        <w:jc w:val="center"/>
        <w:rPr>
          <w:b/>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П О С Т А Н О В Л Е Н И Е</w:t>
      </w:r>
    </w:p>
    <w:p w:rsidR="00E63A6F" w:rsidRPr="00766286" w:rsidRDefault="00E63A6F" w:rsidP="00A05DF6">
      <w:pPr>
        <w:autoSpaceDE w:val="0"/>
        <w:autoSpaceDN w:val="0"/>
        <w:adjustRightInd w:val="0"/>
        <w:ind w:left="709"/>
        <w:jc w:val="center"/>
        <w:rPr>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 xml:space="preserve">от </w:t>
      </w:r>
      <w:r w:rsidR="009549C2" w:rsidRPr="00766286">
        <w:rPr>
          <w:bCs/>
          <w:sz w:val="28"/>
          <w:szCs w:val="28"/>
        </w:rPr>
        <w:t>«</w:t>
      </w:r>
      <w:r w:rsidR="00C55FAB">
        <w:rPr>
          <w:bCs/>
          <w:sz w:val="28"/>
          <w:szCs w:val="28"/>
        </w:rPr>
        <w:t>27</w:t>
      </w:r>
      <w:r w:rsidR="009549C2" w:rsidRPr="00766286">
        <w:rPr>
          <w:bCs/>
          <w:sz w:val="28"/>
          <w:szCs w:val="28"/>
        </w:rPr>
        <w:t>»</w:t>
      </w:r>
      <w:r w:rsidR="009023BD" w:rsidRPr="00766286">
        <w:rPr>
          <w:bCs/>
          <w:sz w:val="28"/>
          <w:szCs w:val="28"/>
        </w:rPr>
        <w:t xml:space="preserve"> </w:t>
      </w:r>
      <w:r w:rsidR="00417260" w:rsidRPr="00766286">
        <w:rPr>
          <w:bCs/>
          <w:sz w:val="28"/>
          <w:szCs w:val="28"/>
        </w:rPr>
        <w:t>декабря</w:t>
      </w:r>
      <w:r w:rsidR="00514ADE" w:rsidRPr="00766286">
        <w:rPr>
          <w:bCs/>
          <w:sz w:val="28"/>
          <w:szCs w:val="28"/>
        </w:rPr>
        <w:t xml:space="preserve"> 2018</w:t>
      </w:r>
      <w:r w:rsidRPr="00766286">
        <w:rPr>
          <w:bCs/>
          <w:sz w:val="28"/>
          <w:szCs w:val="28"/>
        </w:rPr>
        <w:t xml:space="preserve"> г. №</w:t>
      </w:r>
      <w:r w:rsidR="00C55FAB">
        <w:rPr>
          <w:bCs/>
          <w:sz w:val="28"/>
          <w:szCs w:val="28"/>
        </w:rPr>
        <w:t xml:space="preserve"> 741</w:t>
      </w:r>
    </w:p>
    <w:p w:rsidR="00593D30" w:rsidRPr="00766286" w:rsidRDefault="00E63A6F" w:rsidP="003275F1">
      <w:pPr>
        <w:autoSpaceDE w:val="0"/>
        <w:autoSpaceDN w:val="0"/>
        <w:adjustRightInd w:val="0"/>
        <w:ind w:left="709"/>
        <w:jc w:val="center"/>
        <w:rPr>
          <w:bCs/>
          <w:sz w:val="24"/>
          <w:szCs w:val="24"/>
        </w:rPr>
      </w:pPr>
      <w:r w:rsidRPr="00766286">
        <w:rPr>
          <w:bCs/>
          <w:sz w:val="24"/>
          <w:szCs w:val="24"/>
        </w:rPr>
        <w:t>г. Кемерово</w:t>
      </w:r>
    </w:p>
    <w:p w:rsidR="003275F1" w:rsidRPr="00766286" w:rsidRDefault="003275F1" w:rsidP="003275F1">
      <w:pPr>
        <w:autoSpaceDE w:val="0"/>
        <w:autoSpaceDN w:val="0"/>
        <w:adjustRightInd w:val="0"/>
        <w:ind w:left="709"/>
        <w:jc w:val="center"/>
        <w:rPr>
          <w:bCs/>
          <w:sz w:val="24"/>
          <w:szCs w:val="24"/>
        </w:rPr>
      </w:pPr>
    </w:p>
    <w:p w:rsidR="00E63A6F" w:rsidRPr="00766286" w:rsidRDefault="00A34DA3"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5.85pt;z-index:251657216" stroked="f">
            <v:textbox style="mso-next-textbox:#_x0000_s1032">
              <w:txbxContent>
                <w:p w:rsidR="003C7313" w:rsidRPr="001E6F4D" w:rsidRDefault="003C7313" w:rsidP="00AB76AA">
                  <w:pPr>
                    <w:pStyle w:val="ConsPlusNormal"/>
                    <w:ind w:firstLine="709"/>
                    <w:jc w:val="center"/>
                  </w:pPr>
                  <w:r w:rsidRPr="001E6F4D">
                    <w:t xml:space="preserve">Об </w:t>
                  </w:r>
                  <w:r>
                    <w:t>утверждении</w:t>
                  </w:r>
                  <w:r w:rsidRPr="001E6F4D">
                    <w:t xml:space="preserve"> инвестиционной программы </w:t>
                  </w:r>
                  <w:r>
                    <w:t>ООО</w:t>
                  </w:r>
                  <w:r w:rsidR="00A34DA3">
                    <w:t xml:space="preserve"> </w:t>
                  </w:r>
                  <w:bookmarkStart w:id="0" w:name="_GoBack"/>
                  <w:bookmarkEnd w:id="0"/>
                  <w:r>
                    <w:t>«</w:t>
                  </w:r>
                  <w:proofErr w:type="spellStart"/>
                  <w:r>
                    <w:t>Водокомплекс</w:t>
                  </w:r>
                  <w:proofErr w:type="spellEnd"/>
                  <w:r>
                    <w:t xml:space="preserve">» (Мариинский муниципальный район) </w:t>
                  </w:r>
                  <w:r w:rsidRPr="00282A82">
                    <w:t xml:space="preserve">в сфере </w:t>
                  </w:r>
                  <w:r w:rsidRPr="00CE13C7">
                    <w:t xml:space="preserve">водоотведения </w:t>
                  </w:r>
                  <w:r w:rsidRPr="001E6F4D">
                    <w:t>на</w:t>
                  </w:r>
                  <w:r>
                    <w:t xml:space="preserve"> 2018-2022</w:t>
                  </w:r>
                  <w:r w:rsidRPr="001E6F4D">
                    <w:t xml:space="preserve"> годы</w:t>
                  </w:r>
                </w:p>
              </w:txbxContent>
            </v:textbox>
            <w10:anchorlock/>
          </v:shape>
        </w:pict>
      </w:r>
    </w:p>
    <w:p w:rsidR="00E63A6F" w:rsidRPr="00766286" w:rsidRDefault="00E63A6F" w:rsidP="00E63A6F">
      <w:pPr>
        <w:jc w:val="both"/>
      </w:pPr>
    </w:p>
    <w:p w:rsidR="00E63A6F" w:rsidRPr="00766286" w:rsidRDefault="00E63A6F" w:rsidP="00E63A6F">
      <w:pPr>
        <w:jc w:val="both"/>
      </w:pPr>
    </w:p>
    <w:p w:rsidR="00E63A6F" w:rsidRPr="00766286" w:rsidRDefault="00E63A6F" w:rsidP="00E63A6F">
      <w:pPr>
        <w:jc w:val="both"/>
      </w:pPr>
    </w:p>
    <w:p w:rsidR="009023BD" w:rsidRPr="00766286" w:rsidRDefault="009023BD" w:rsidP="00E63A6F">
      <w:pPr>
        <w:pStyle w:val="21"/>
        <w:ind w:firstLine="709"/>
        <w:jc w:val="both"/>
        <w:rPr>
          <w:b w:val="0"/>
        </w:rPr>
      </w:pPr>
    </w:p>
    <w:p w:rsidR="00AB76AA" w:rsidRPr="00766286" w:rsidRDefault="00AB76AA" w:rsidP="00E63A6F">
      <w:pPr>
        <w:pStyle w:val="21"/>
        <w:ind w:firstLine="709"/>
        <w:jc w:val="both"/>
        <w:rPr>
          <w:b w:val="0"/>
        </w:rPr>
      </w:pPr>
    </w:p>
    <w:p w:rsidR="00E63A6F" w:rsidRPr="00766286" w:rsidRDefault="00E63A6F" w:rsidP="00E63A6F">
      <w:pPr>
        <w:pStyle w:val="23"/>
        <w:tabs>
          <w:tab w:val="left" w:pos="1134"/>
        </w:tabs>
        <w:ind w:firstLine="720"/>
        <w:jc w:val="both"/>
        <w:rPr>
          <w:b w:val="0"/>
          <w:szCs w:val="28"/>
        </w:rPr>
      </w:pPr>
      <w:r w:rsidRPr="00766286">
        <w:rPr>
          <w:b w:val="0"/>
          <w:szCs w:val="28"/>
        </w:rPr>
        <w:t xml:space="preserve">Руководствуясь Федеральным законом от </w:t>
      </w:r>
      <w:r w:rsidR="005D28D0" w:rsidRPr="00766286">
        <w:rPr>
          <w:b w:val="0"/>
          <w:szCs w:val="28"/>
        </w:rPr>
        <w:t>07.12</w:t>
      </w:r>
      <w:r w:rsidRPr="00766286">
        <w:rPr>
          <w:b w:val="0"/>
          <w:szCs w:val="28"/>
        </w:rPr>
        <w:t>.201</w:t>
      </w:r>
      <w:r w:rsidR="005D28D0" w:rsidRPr="00766286">
        <w:rPr>
          <w:b w:val="0"/>
          <w:szCs w:val="28"/>
        </w:rPr>
        <w:t>1</w:t>
      </w:r>
      <w:r w:rsidRPr="00766286">
        <w:rPr>
          <w:b w:val="0"/>
          <w:szCs w:val="28"/>
        </w:rPr>
        <w:t xml:space="preserve"> № </w:t>
      </w:r>
      <w:r w:rsidR="005D28D0" w:rsidRPr="00766286">
        <w:rPr>
          <w:b w:val="0"/>
          <w:szCs w:val="28"/>
        </w:rPr>
        <w:t>416</w:t>
      </w:r>
      <w:r w:rsidRPr="00766286">
        <w:rPr>
          <w:b w:val="0"/>
          <w:szCs w:val="28"/>
        </w:rPr>
        <w:t>-ФЗ</w:t>
      </w:r>
      <w:r w:rsidR="00F93AD9" w:rsidRPr="00766286">
        <w:rPr>
          <w:b w:val="0"/>
          <w:szCs w:val="28"/>
        </w:rPr>
        <w:t xml:space="preserve"> </w:t>
      </w:r>
      <w:r w:rsidR="009549C2" w:rsidRPr="00766286">
        <w:rPr>
          <w:b w:val="0"/>
          <w:szCs w:val="28"/>
        </w:rPr>
        <w:t>«</w:t>
      </w:r>
      <w:r w:rsidR="00A05DF6" w:rsidRPr="00766286">
        <w:rPr>
          <w:b w:val="0"/>
          <w:szCs w:val="28"/>
        </w:rPr>
        <w:t>О в</w:t>
      </w:r>
      <w:r w:rsidR="001E6F4D" w:rsidRPr="00766286">
        <w:rPr>
          <w:b w:val="0"/>
          <w:szCs w:val="28"/>
        </w:rPr>
        <w:t>одоснабжении и водоотведении</w:t>
      </w:r>
      <w:r w:rsidR="009549C2" w:rsidRPr="00766286">
        <w:rPr>
          <w:b w:val="0"/>
          <w:szCs w:val="28"/>
        </w:rPr>
        <w:t>»</w:t>
      </w:r>
      <w:r w:rsidRPr="00766286">
        <w:rPr>
          <w:b w:val="0"/>
          <w:szCs w:val="28"/>
        </w:rPr>
        <w:t>, постановлениями Правительства Российской Федерации от </w:t>
      </w:r>
      <w:r w:rsidR="005D28D0" w:rsidRPr="00766286">
        <w:rPr>
          <w:b w:val="0"/>
          <w:szCs w:val="28"/>
        </w:rPr>
        <w:t>13</w:t>
      </w:r>
      <w:r w:rsidRPr="00766286">
        <w:rPr>
          <w:b w:val="0"/>
          <w:szCs w:val="28"/>
        </w:rPr>
        <w:t>.</w:t>
      </w:r>
      <w:r w:rsidR="005D28D0" w:rsidRPr="00766286">
        <w:rPr>
          <w:b w:val="0"/>
          <w:szCs w:val="28"/>
        </w:rPr>
        <w:t>05.2013 № 406</w:t>
      </w:r>
      <w:r w:rsidR="009023BD" w:rsidRPr="00766286">
        <w:rPr>
          <w:b w:val="0"/>
          <w:szCs w:val="28"/>
        </w:rPr>
        <w:t xml:space="preserve"> </w:t>
      </w:r>
      <w:r w:rsidR="009549C2" w:rsidRPr="00766286">
        <w:rPr>
          <w:b w:val="0"/>
          <w:szCs w:val="28"/>
        </w:rPr>
        <w:t>«</w:t>
      </w:r>
      <w:r w:rsidR="005D28D0" w:rsidRPr="00766286">
        <w:rPr>
          <w:b w:val="0"/>
          <w:szCs w:val="28"/>
        </w:rPr>
        <w:t>О государственном регулировании тарифов в сфере водоснабжения и водоотведения</w:t>
      </w:r>
      <w:r w:rsidR="009549C2" w:rsidRPr="00766286">
        <w:rPr>
          <w:b w:val="0"/>
          <w:szCs w:val="28"/>
        </w:rPr>
        <w:t>»</w:t>
      </w:r>
      <w:r w:rsidRPr="00766286">
        <w:rPr>
          <w:b w:val="0"/>
          <w:szCs w:val="28"/>
        </w:rPr>
        <w:t>, от </w:t>
      </w:r>
      <w:r w:rsidR="005D28D0" w:rsidRPr="00766286">
        <w:rPr>
          <w:b w:val="0"/>
          <w:szCs w:val="28"/>
        </w:rPr>
        <w:t>29.07.2013</w:t>
      </w:r>
      <w:r w:rsidRPr="00766286">
        <w:rPr>
          <w:b w:val="0"/>
          <w:szCs w:val="28"/>
        </w:rPr>
        <w:t xml:space="preserve"> № </w:t>
      </w:r>
      <w:r w:rsidR="005D28D0" w:rsidRPr="00766286">
        <w:rPr>
          <w:b w:val="0"/>
          <w:szCs w:val="28"/>
        </w:rPr>
        <w:t>641</w:t>
      </w:r>
      <w:r w:rsidRPr="00766286">
        <w:rPr>
          <w:b w:val="0"/>
          <w:szCs w:val="28"/>
        </w:rPr>
        <w:t xml:space="preserve"> </w:t>
      </w:r>
      <w:r w:rsidR="009549C2" w:rsidRPr="00766286">
        <w:rPr>
          <w:b w:val="0"/>
          <w:szCs w:val="28"/>
        </w:rPr>
        <w:t>«</w:t>
      </w:r>
      <w:r w:rsidR="005D28D0" w:rsidRPr="00766286">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sidRPr="00766286">
        <w:rPr>
          <w:b w:val="0"/>
          <w:szCs w:val="28"/>
        </w:rPr>
        <w:t>»</w:t>
      </w:r>
      <w:r w:rsidR="002700E9" w:rsidRPr="00766286">
        <w:rPr>
          <w:b w:val="0"/>
          <w:szCs w:val="28"/>
        </w:rPr>
        <w:t xml:space="preserve">, </w:t>
      </w:r>
      <w:r w:rsidR="00F70B5C" w:rsidRPr="00766286">
        <w:rPr>
          <w:b w:val="0"/>
          <w:szCs w:val="28"/>
        </w:rPr>
        <w:t xml:space="preserve">приказом Минстроя России </w:t>
      </w:r>
      <w:r w:rsidR="002700E9" w:rsidRPr="00766286">
        <w:rPr>
          <w:b w:val="0"/>
          <w:szCs w:val="28"/>
        </w:rPr>
        <w:t>от </w:t>
      </w:r>
      <w:r w:rsidR="005D28D0" w:rsidRPr="00766286">
        <w:rPr>
          <w:b w:val="0"/>
          <w:szCs w:val="28"/>
        </w:rPr>
        <w:t>04.04.2014 № 162/</w:t>
      </w:r>
      <w:proofErr w:type="spellStart"/>
      <w:r w:rsidR="005D28D0" w:rsidRPr="00766286">
        <w:rPr>
          <w:b w:val="0"/>
          <w:szCs w:val="28"/>
        </w:rPr>
        <w:t>пр</w:t>
      </w:r>
      <w:proofErr w:type="spellEnd"/>
      <w:r w:rsidR="00F93AD9" w:rsidRPr="00766286">
        <w:rPr>
          <w:b w:val="0"/>
          <w:szCs w:val="28"/>
        </w:rPr>
        <w:t xml:space="preserve"> </w:t>
      </w:r>
      <w:r w:rsidR="009549C2" w:rsidRPr="00766286">
        <w:rPr>
          <w:b w:val="0"/>
          <w:szCs w:val="28"/>
        </w:rPr>
        <w:t>«</w:t>
      </w:r>
      <w:r w:rsidR="005D28D0" w:rsidRPr="00766286">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766286">
        <w:rPr>
          <w:b w:val="0"/>
          <w:szCs w:val="28"/>
        </w:rPr>
        <w:t>горячего</w:t>
      </w:r>
      <w:r w:rsidR="005D28D0" w:rsidRPr="00766286">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sidRPr="00766286">
        <w:rPr>
          <w:b w:val="0"/>
          <w:szCs w:val="28"/>
        </w:rPr>
        <w:t>»</w:t>
      </w:r>
      <w:r w:rsidRPr="00766286">
        <w:rPr>
          <w:b w:val="0"/>
          <w:szCs w:val="28"/>
        </w:rPr>
        <w:t xml:space="preserve">, постановлением Коллегии Администрации Кемеровской области от 06.09.2013 № 371 </w:t>
      </w:r>
      <w:r w:rsidR="009549C2" w:rsidRPr="00766286">
        <w:rPr>
          <w:b w:val="0"/>
          <w:szCs w:val="28"/>
        </w:rPr>
        <w:t>«</w:t>
      </w:r>
      <w:r w:rsidRPr="00766286">
        <w:rPr>
          <w:b w:val="0"/>
          <w:szCs w:val="28"/>
        </w:rPr>
        <w:t>Об утверждении Положения о региональной энергетической комиссии Кемеровской области</w:t>
      </w:r>
      <w:r w:rsidR="009549C2" w:rsidRPr="00766286">
        <w:rPr>
          <w:b w:val="0"/>
          <w:szCs w:val="28"/>
        </w:rPr>
        <w:t>»</w:t>
      </w:r>
      <w:r w:rsidRPr="00766286">
        <w:rPr>
          <w:b w:val="0"/>
          <w:szCs w:val="28"/>
        </w:rPr>
        <w:t xml:space="preserve">, региональная энергетическая комиссия Кемеровской области </w:t>
      </w:r>
      <w:r w:rsidRPr="00766286">
        <w:rPr>
          <w:b w:val="0"/>
          <w:spacing w:val="48"/>
          <w:szCs w:val="28"/>
        </w:rPr>
        <w:t>постановляет</w:t>
      </w:r>
      <w:r w:rsidRPr="00766286">
        <w:rPr>
          <w:b w:val="0"/>
          <w:szCs w:val="28"/>
        </w:rPr>
        <w:t>:</w:t>
      </w:r>
    </w:p>
    <w:p w:rsidR="00E63A6F" w:rsidRPr="00766286" w:rsidRDefault="004C24DA" w:rsidP="003C7313">
      <w:pPr>
        <w:numPr>
          <w:ilvl w:val="0"/>
          <w:numId w:val="8"/>
        </w:numPr>
        <w:tabs>
          <w:tab w:val="left" w:pos="993"/>
          <w:tab w:val="left" w:pos="5245"/>
        </w:tabs>
        <w:ind w:left="0" w:firstLine="709"/>
        <w:jc w:val="both"/>
        <w:rPr>
          <w:bCs/>
          <w:kern w:val="32"/>
          <w:sz w:val="28"/>
          <w:szCs w:val="28"/>
        </w:rPr>
      </w:pPr>
      <w:r w:rsidRPr="00766286">
        <w:rPr>
          <w:bCs/>
          <w:kern w:val="32"/>
          <w:sz w:val="28"/>
          <w:szCs w:val="28"/>
        </w:rPr>
        <w:t>Утвердить</w:t>
      </w:r>
      <w:r w:rsidR="00E01736" w:rsidRPr="00766286">
        <w:rPr>
          <w:bCs/>
          <w:kern w:val="32"/>
          <w:sz w:val="28"/>
          <w:szCs w:val="28"/>
        </w:rPr>
        <w:t xml:space="preserve"> </w:t>
      </w:r>
      <w:r w:rsidR="008202D8" w:rsidRPr="00766286">
        <w:rPr>
          <w:bCs/>
          <w:kern w:val="32"/>
          <w:sz w:val="28"/>
          <w:szCs w:val="28"/>
        </w:rPr>
        <w:t>ООО </w:t>
      </w:r>
      <w:r w:rsidR="00514ADE" w:rsidRPr="00766286">
        <w:rPr>
          <w:bCs/>
          <w:kern w:val="32"/>
          <w:sz w:val="28"/>
          <w:szCs w:val="28"/>
        </w:rPr>
        <w:t>«</w:t>
      </w:r>
      <w:proofErr w:type="spellStart"/>
      <w:r w:rsidR="003C7313" w:rsidRPr="00766286">
        <w:rPr>
          <w:bCs/>
          <w:kern w:val="32"/>
          <w:sz w:val="28"/>
          <w:szCs w:val="28"/>
        </w:rPr>
        <w:t>Водокомплекс</w:t>
      </w:r>
      <w:proofErr w:type="spellEnd"/>
      <w:r w:rsidR="00514ADE" w:rsidRPr="00766286">
        <w:rPr>
          <w:bCs/>
          <w:kern w:val="32"/>
          <w:sz w:val="28"/>
          <w:szCs w:val="28"/>
        </w:rPr>
        <w:t>» (</w:t>
      </w:r>
      <w:r w:rsidR="003C7313" w:rsidRPr="00766286">
        <w:rPr>
          <w:bCs/>
          <w:kern w:val="32"/>
          <w:sz w:val="28"/>
          <w:szCs w:val="28"/>
        </w:rPr>
        <w:t>Мариинский муниципальный район</w:t>
      </w:r>
      <w:r w:rsidR="00514ADE" w:rsidRPr="00766286">
        <w:rPr>
          <w:bCs/>
          <w:kern w:val="32"/>
          <w:sz w:val="28"/>
          <w:szCs w:val="28"/>
        </w:rPr>
        <w:t>)</w:t>
      </w:r>
      <w:r w:rsidR="009023BD" w:rsidRPr="00766286">
        <w:rPr>
          <w:bCs/>
          <w:kern w:val="32"/>
          <w:sz w:val="28"/>
          <w:szCs w:val="28"/>
        </w:rPr>
        <w:t>,</w:t>
      </w:r>
      <w:r w:rsidR="00514ADE" w:rsidRPr="00766286">
        <w:rPr>
          <w:bCs/>
          <w:kern w:val="32"/>
          <w:sz w:val="28"/>
          <w:szCs w:val="28"/>
        </w:rPr>
        <w:t xml:space="preserve"> </w:t>
      </w:r>
      <w:r w:rsidR="009023BD" w:rsidRPr="00766286">
        <w:rPr>
          <w:bCs/>
          <w:kern w:val="32"/>
          <w:sz w:val="28"/>
          <w:szCs w:val="28"/>
        </w:rPr>
        <w:t>ИНН</w:t>
      </w:r>
      <w:r w:rsidR="00EB0629" w:rsidRPr="00766286">
        <w:rPr>
          <w:bCs/>
          <w:kern w:val="32"/>
          <w:sz w:val="28"/>
          <w:szCs w:val="28"/>
        </w:rPr>
        <w:t> </w:t>
      </w:r>
      <w:r w:rsidR="003C7313" w:rsidRPr="00766286">
        <w:rPr>
          <w:bCs/>
          <w:kern w:val="32"/>
          <w:sz w:val="28"/>
          <w:szCs w:val="28"/>
        </w:rPr>
        <w:t>5406734820</w:t>
      </w:r>
      <w:r w:rsidR="009023BD" w:rsidRPr="00766286">
        <w:rPr>
          <w:bCs/>
          <w:kern w:val="32"/>
          <w:sz w:val="28"/>
          <w:szCs w:val="28"/>
        </w:rPr>
        <w:t xml:space="preserve">, </w:t>
      </w:r>
      <w:r w:rsidR="003275F1" w:rsidRPr="00766286">
        <w:rPr>
          <w:bCs/>
          <w:kern w:val="32"/>
          <w:sz w:val="28"/>
          <w:szCs w:val="28"/>
        </w:rPr>
        <w:t>инвестиционную</w:t>
      </w:r>
      <w:r w:rsidR="00EB0629" w:rsidRPr="00766286">
        <w:rPr>
          <w:bCs/>
          <w:kern w:val="32"/>
          <w:sz w:val="28"/>
          <w:szCs w:val="28"/>
        </w:rPr>
        <w:t xml:space="preserve"> </w:t>
      </w:r>
      <w:r w:rsidR="003275F1" w:rsidRPr="00766286">
        <w:rPr>
          <w:bCs/>
          <w:kern w:val="32"/>
          <w:sz w:val="28"/>
          <w:szCs w:val="28"/>
        </w:rPr>
        <w:t>программу</w:t>
      </w:r>
      <w:r w:rsidR="00EB0629" w:rsidRPr="00766286">
        <w:rPr>
          <w:bCs/>
          <w:kern w:val="32"/>
          <w:sz w:val="28"/>
          <w:szCs w:val="28"/>
        </w:rPr>
        <w:t xml:space="preserve"> </w:t>
      </w:r>
      <w:r w:rsidR="009023BD" w:rsidRPr="00766286">
        <w:rPr>
          <w:bCs/>
          <w:kern w:val="32"/>
          <w:sz w:val="28"/>
          <w:szCs w:val="28"/>
        </w:rPr>
        <w:t>в</w:t>
      </w:r>
      <w:r w:rsidR="00EB0629" w:rsidRPr="00766286">
        <w:rPr>
          <w:bCs/>
          <w:kern w:val="32"/>
          <w:sz w:val="28"/>
          <w:szCs w:val="28"/>
        </w:rPr>
        <w:t xml:space="preserve"> </w:t>
      </w:r>
      <w:r w:rsidR="009023BD" w:rsidRPr="00766286">
        <w:rPr>
          <w:bCs/>
          <w:kern w:val="32"/>
          <w:sz w:val="28"/>
          <w:szCs w:val="28"/>
        </w:rPr>
        <w:t>сфере</w:t>
      </w:r>
      <w:r w:rsidR="00EB0629" w:rsidRPr="00766286">
        <w:rPr>
          <w:bCs/>
          <w:kern w:val="32"/>
          <w:sz w:val="28"/>
          <w:szCs w:val="28"/>
        </w:rPr>
        <w:t xml:space="preserve"> </w:t>
      </w:r>
      <w:r w:rsidR="00CE13C7" w:rsidRPr="00766286">
        <w:rPr>
          <w:bCs/>
          <w:kern w:val="32"/>
          <w:sz w:val="28"/>
          <w:szCs w:val="28"/>
        </w:rPr>
        <w:t>водоотведения</w:t>
      </w:r>
      <w:r w:rsidR="006F0CCC" w:rsidRPr="00766286">
        <w:rPr>
          <w:bCs/>
          <w:kern w:val="32"/>
          <w:sz w:val="28"/>
          <w:szCs w:val="28"/>
        </w:rPr>
        <w:t xml:space="preserve"> </w:t>
      </w:r>
      <w:r w:rsidR="00EB0629" w:rsidRPr="00766286">
        <w:rPr>
          <w:bCs/>
          <w:kern w:val="32"/>
          <w:sz w:val="28"/>
          <w:szCs w:val="28"/>
        </w:rPr>
        <w:t xml:space="preserve">на </w:t>
      </w:r>
      <w:r w:rsidR="008E52F0" w:rsidRPr="00766286">
        <w:rPr>
          <w:bCs/>
          <w:kern w:val="32"/>
          <w:sz w:val="28"/>
          <w:szCs w:val="28"/>
        </w:rPr>
        <w:t>2018-</w:t>
      </w:r>
      <w:r w:rsidR="00514ADE" w:rsidRPr="00766286">
        <w:rPr>
          <w:bCs/>
          <w:kern w:val="32"/>
          <w:sz w:val="28"/>
          <w:szCs w:val="28"/>
        </w:rPr>
        <w:t>2022</w:t>
      </w:r>
      <w:r w:rsidR="003275F1" w:rsidRPr="00766286">
        <w:rPr>
          <w:bCs/>
          <w:kern w:val="32"/>
          <w:sz w:val="28"/>
          <w:szCs w:val="28"/>
        </w:rPr>
        <w:t xml:space="preserve"> годы согласно </w:t>
      </w:r>
      <w:hyperlink r:id="rId9" w:history="1">
        <w:r w:rsidR="003275F1" w:rsidRPr="00766286">
          <w:rPr>
            <w:bCs/>
            <w:kern w:val="32"/>
            <w:sz w:val="28"/>
            <w:szCs w:val="28"/>
          </w:rPr>
          <w:t xml:space="preserve">приложению </w:t>
        </w:r>
      </w:hyperlink>
      <w:r w:rsidR="003275F1" w:rsidRPr="00766286">
        <w:rPr>
          <w:bCs/>
          <w:kern w:val="32"/>
          <w:sz w:val="28"/>
          <w:szCs w:val="28"/>
        </w:rPr>
        <w:t>к настоящему постановлению.</w:t>
      </w:r>
      <w:r w:rsidRPr="00766286">
        <w:rPr>
          <w:bCs/>
          <w:kern w:val="32"/>
          <w:sz w:val="28"/>
          <w:szCs w:val="28"/>
        </w:rPr>
        <w:t xml:space="preserve"> </w:t>
      </w:r>
    </w:p>
    <w:p w:rsidR="004A0343" w:rsidRPr="00766286" w:rsidRDefault="00127C49" w:rsidP="00AE5DB1">
      <w:pPr>
        <w:numPr>
          <w:ilvl w:val="0"/>
          <w:numId w:val="8"/>
        </w:numPr>
        <w:tabs>
          <w:tab w:val="left" w:pos="993"/>
        </w:tabs>
        <w:ind w:left="0" w:firstLine="709"/>
        <w:jc w:val="both"/>
        <w:rPr>
          <w:bCs/>
          <w:kern w:val="32"/>
          <w:sz w:val="28"/>
          <w:szCs w:val="28"/>
        </w:rPr>
      </w:pPr>
      <w:r w:rsidRPr="00766286">
        <w:rPr>
          <w:bCs/>
          <w:kern w:val="32"/>
          <w:sz w:val="28"/>
          <w:szCs w:val="28"/>
        </w:rPr>
        <w:t xml:space="preserve">Опубликовать настоящее постановление на сайте </w:t>
      </w:r>
      <w:r w:rsidR="009549C2" w:rsidRPr="00766286">
        <w:rPr>
          <w:bCs/>
          <w:kern w:val="32"/>
          <w:sz w:val="28"/>
          <w:szCs w:val="28"/>
        </w:rPr>
        <w:t>«</w:t>
      </w:r>
      <w:r w:rsidRPr="00766286">
        <w:rPr>
          <w:bCs/>
          <w:kern w:val="32"/>
          <w:sz w:val="28"/>
          <w:szCs w:val="28"/>
        </w:rPr>
        <w:t>Электронный бюллетень региональной энергетической комиссии Кемеровской области</w:t>
      </w:r>
      <w:r w:rsidR="009549C2" w:rsidRPr="00766286">
        <w:rPr>
          <w:bCs/>
          <w:kern w:val="32"/>
          <w:sz w:val="28"/>
          <w:szCs w:val="28"/>
        </w:rPr>
        <w:t>»</w:t>
      </w:r>
      <w:r w:rsidRPr="00766286">
        <w:rPr>
          <w:bCs/>
          <w:kern w:val="32"/>
          <w:sz w:val="28"/>
          <w:szCs w:val="28"/>
        </w:rPr>
        <w:t>.</w:t>
      </w:r>
    </w:p>
    <w:p w:rsidR="00B54A2F" w:rsidRPr="00766286" w:rsidRDefault="004A0343" w:rsidP="00AE5DB1">
      <w:pPr>
        <w:numPr>
          <w:ilvl w:val="0"/>
          <w:numId w:val="8"/>
        </w:numPr>
        <w:tabs>
          <w:tab w:val="left" w:pos="993"/>
        </w:tabs>
        <w:ind w:left="0" w:firstLine="709"/>
        <w:jc w:val="both"/>
        <w:rPr>
          <w:bCs/>
          <w:kern w:val="32"/>
          <w:sz w:val="28"/>
          <w:szCs w:val="28"/>
        </w:rPr>
      </w:pPr>
      <w:r w:rsidRPr="00766286">
        <w:rPr>
          <w:bCs/>
          <w:kern w:val="32"/>
          <w:sz w:val="28"/>
          <w:szCs w:val="28"/>
        </w:rPr>
        <w:t>Настоящее постановление вступает в силу со дня его официального опубликования.</w:t>
      </w:r>
    </w:p>
    <w:p w:rsidR="00E63A6F" w:rsidRPr="00766286" w:rsidRDefault="00E63A6F" w:rsidP="00B54A2F"/>
    <w:p w:rsidR="009023BD" w:rsidRPr="00766286" w:rsidRDefault="009023BD" w:rsidP="00B54A2F"/>
    <w:p w:rsidR="00E63A6F" w:rsidRPr="00766286" w:rsidRDefault="00E63A6F" w:rsidP="00B54A2F"/>
    <w:p w:rsidR="00E63A6F" w:rsidRPr="00766286" w:rsidRDefault="00F93AD9" w:rsidP="00E63A6F">
      <w:pPr>
        <w:autoSpaceDE w:val="0"/>
        <w:autoSpaceDN w:val="0"/>
        <w:adjustRightInd w:val="0"/>
        <w:ind w:right="3684" w:firstLine="720"/>
        <w:rPr>
          <w:sz w:val="28"/>
          <w:szCs w:val="28"/>
        </w:rPr>
      </w:pPr>
      <w:r w:rsidRPr="00766286">
        <w:rPr>
          <w:sz w:val="28"/>
          <w:szCs w:val="28"/>
        </w:rPr>
        <w:t xml:space="preserve"> </w:t>
      </w:r>
      <w:r w:rsidR="00E63A6F" w:rsidRPr="00766286">
        <w:rPr>
          <w:sz w:val="28"/>
          <w:szCs w:val="28"/>
        </w:rPr>
        <w:t>Председатель региональной</w:t>
      </w:r>
    </w:p>
    <w:p w:rsidR="00E63A6F" w:rsidRPr="00766286" w:rsidRDefault="00E63A6F" w:rsidP="00E63A6F">
      <w:pPr>
        <w:autoSpaceDE w:val="0"/>
        <w:autoSpaceDN w:val="0"/>
        <w:adjustRightInd w:val="0"/>
        <w:jc w:val="both"/>
        <w:rPr>
          <w:sz w:val="28"/>
          <w:szCs w:val="28"/>
        </w:rPr>
      </w:pPr>
      <w:r w:rsidRPr="00766286">
        <w:rPr>
          <w:sz w:val="28"/>
          <w:szCs w:val="28"/>
        </w:rPr>
        <w:t>энергетической комиссии Кемеровской области</w:t>
      </w:r>
      <w:r w:rsidR="00F93AD9" w:rsidRPr="00766286">
        <w:rPr>
          <w:sz w:val="28"/>
          <w:szCs w:val="28"/>
        </w:rPr>
        <w:t xml:space="preserve"> </w:t>
      </w:r>
      <w:r w:rsidR="006F0CCC" w:rsidRPr="00766286">
        <w:rPr>
          <w:sz w:val="28"/>
          <w:szCs w:val="28"/>
        </w:rPr>
        <w:t xml:space="preserve">                                </w:t>
      </w:r>
      <w:r w:rsidR="00E0663B" w:rsidRPr="00766286">
        <w:rPr>
          <w:sz w:val="28"/>
          <w:szCs w:val="28"/>
        </w:rPr>
        <w:t xml:space="preserve">Д.В. </w:t>
      </w:r>
      <w:proofErr w:type="spellStart"/>
      <w:r w:rsidR="00E0663B" w:rsidRPr="00766286">
        <w:rPr>
          <w:sz w:val="28"/>
          <w:szCs w:val="28"/>
        </w:rPr>
        <w:t>Малюта</w:t>
      </w:r>
      <w:proofErr w:type="spellEnd"/>
    </w:p>
    <w:p w:rsidR="00593D30" w:rsidRPr="00766286" w:rsidRDefault="00593D30" w:rsidP="000936DC">
      <w:pPr>
        <w:autoSpaceDE w:val="0"/>
        <w:autoSpaceDN w:val="0"/>
        <w:adjustRightInd w:val="0"/>
        <w:ind w:left="4820"/>
        <w:jc w:val="center"/>
        <w:outlineLvl w:val="0"/>
        <w:rPr>
          <w:sz w:val="28"/>
          <w:szCs w:val="28"/>
        </w:rPr>
        <w:sectPr w:rsidR="00593D30" w:rsidRPr="00766286"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lastRenderedPageBreak/>
        <w:t xml:space="preserve">Приложение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 постановлению региональной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энергетической комиссии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Кемеровской области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от </w:t>
      </w:r>
      <w:r w:rsidR="009549C2" w:rsidRPr="00766286">
        <w:rPr>
          <w:sz w:val="28"/>
          <w:szCs w:val="28"/>
        </w:rPr>
        <w:t>«</w:t>
      </w:r>
      <w:r w:rsidR="00C55FAB">
        <w:rPr>
          <w:sz w:val="28"/>
          <w:szCs w:val="28"/>
        </w:rPr>
        <w:t>27</w:t>
      </w:r>
      <w:r w:rsidR="009549C2" w:rsidRPr="00766286">
        <w:rPr>
          <w:sz w:val="28"/>
          <w:szCs w:val="28"/>
        </w:rPr>
        <w:t>»</w:t>
      </w:r>
      <w:r w:rsidR="005953D4" w:rsidRPr="00766286">
        <w:rPr>
          <w:sz w:val="28"/>
          <w:szCs w:val="28"/>
        </w:rPr>
        <w:t xml:space="preserve"> </w:t>
      </w:r>
      <w:r w:rsidR="00417260" w:rsidRPr="00766286">
        <w:rPr>
          <w:sz w:val="28"/>
          <w:szCs w:val="28"/>
        </w:rPr>
        <w:t>декабря</w:t>
      </w:r>
      <w:r w:rsidR="00514ADE" w:rsidRPr="00766286">
        <w:rPr>
          <w:sz w:val="28"/>
          <w:szCs w:val="28"/>
        </w:rPr>
        <w:t xml:space="preserve"> 2018</w:t>
      </w:r>
      <w:r w:rsidRPr="00766286">
        <w:rPr>
          <w:sz w:val="28"/>
          <w:szCs w:val="28"/>
        </w:rPr>
        <w:t xml:space="preserve"> г. № </w:t>
      </w:r>
      <w:r w:rsidR="00C55FAB">
        <w:rPr>
          <w:sz w:val="28"/>
          <w:szCs w:val="28"/>
        </w:rPr>
        <w:t>741</w:t>
      </w:r>
    </w:p>
    <w:p w:rsidR="009023BD" w:rsidRPr="00766286" w:rsidRDefault="00F93AD9" w:rsidP="009023BD">
      <w:pPr>
        <w:pStyle w:val="ConsPlusNormal"/>
      </w:pPr>
      <w:r w:rsidRPr="00766286">
        <w:t xml:space="preserve">  </w:t>
      </w:r>
    </w:p>
    <w:p w:rsidR="009023BD" w:rsidRPr="00766286" w:rsidRDefault="009023BD" w:rsidP="009023BD">
      <w:pPr>
        <w:pStyle w:val="ConsPlusNormal"/>
      </w:pPr>
    </w:p>
    <w:p w:rsidR="009023BD" w:rsidRPr="00766286" w:rsidRDefault="009023BD" w:rsidP="009023BD">
      <w:pPr>
        <w:pStyle w:val="ConsPlusNormal"/>
      </w:pPr>
    </w:p>
    <w:p w:rsidR="009023BD" w:rsidRPr="00766286" w:rsidRDefault="009023BD" w:rsidP="009023BD">
      <w:pPr>
        <w:autoSpaceDE w:val="0"/>
        <w:autoSpaceDN w:val="0"/>
        <w:adjustRightInd w:val="0"/>
        <w:jc w:val="center"/>
        <w:outlineLvl w:val="0"/>
        <w:rPr>
          <w:b/>
          <w:sz w:val="28"/>
          <w:szCs w:val="28"/>
        </w:rPr>
      </w:pPr>
      <w:r w:rsidRPr="00766286">
        <w:rPr>
          <w:b/>
          <w:sz w:val="28"/>
          <w:szCs w:val="28"/>
        </w:rPr>
        <w:t>Паспорт инвестиционной программы</w:t>
      </w:r>
    </w:p>
    <w:p w:rsidR="009023BD" w:rsidRPr="00766286" w:rsidRDefault="009023BD" w:rsidP="009023BD">
      <w:pPr>
        <w:autoSpaceDE w:val="0"/>
        <w:autoSpaceDN w:val="0"/>
        <w:adjustRightInd w:val="0"/>
        <w:ind w:firstLine="540"/>
        <w:jc w:val="both"/>
      </w:pPr>
    </w:p>
    <w:p w:rsidR="009023BD" w:rsidRPr="00766286" w:rsidRDefault="009023BD" w:rsidP="009023BD">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766286" w:rsidRDefault="00514ADE" w:rsidP="008202D8">
            <w:pPr>
              <w:autoSpaceDE w:val="0"/>
              <w:autoSpaceDN w:val="0"/>
              <w:adjustRightInd w:val="0"/>
              <w:rPr>
                <w:sz w:val="28"/>
                <w:szCs w:val="28"/>
              </w:rPr>
            </w:pPr>
            <w:r w:rsidRPr="00766286">
              <w:rPr>
                <w:sz w:val="28"/>
                <w:szCs w:val="28"/>
              </w:rPr>
              <w:t>ООО «</w:t>
            </w:r>
            <w:proofErr w:type="spellStart"/>
            <w:r w:rsidR="003C7313" w:rsidRPr="00766286">
              <w:rPr>
                <w:sz w:val="28"/>
                <w:szCs w:val="28"/>
              </w:rPr>
              <w:t>Водокомплекс</w:t>
            </w:r>
            <w:proofErr w:type="spellEnd"/>
            <w:r w:rsidRPr="00766286">
              <w:rPr>
                <w:sz w:val="28"/>
                <w:szCs w:val="28"/>
              </w:rPr>
              <w:t>»,</w:t>
            </w:r>
          </w:p>
          <w:p w:rsidR="00417260" w:rsidRPr="00766286" w:rsidRDefault="00E15981" w:rsidP="00417260">
            <w:pPr>
              <w:autoSpaceDE w:val="0"/>
              <w:autoSpaceDN w:val="0"/>
              <w:adjustRightInd w:val="0"/>
              <w:rPr>
                <w:sz w:val="28"/>
                <w:szCs w:val="28"/>
              </w:rPr>
            </w:pPr>
            <w:r w:rsidRPr="00766286">
              <w:rPr>
                <w:sz w:val="28"/>
                <w:szCs w:val="28"/>
              </w:rPr>
              <w:t xml:space="preserve">652150, </w:t>
            </w:r>
            <w:r w:rsidR="003C7313" w:rsidRPr="00766286">
              <w:rPr>
                <w:sz w:val="28"/>
                <w:szCs w:val="28"/>
              </w:rPr>
              <w:t>Мариинский муниципальный район</w:t>
            </w:r>
            <w:r w:rsidRPr="00766286">
              <w:rPr>
                <w:sz w:val="28"/>
                <w:szCs w:val="28"/>
              </w:rPr>
              <w:t>, пер. </w:t>
            </w:r>
            <w:r w:rsidR="00417260" w:rsidRPr="00766286">
              <w:rPr>
                <w:sz w:val="28"/>
                <w:szCs w:val="28"/>
              </w:rPr>
              <w:t>Южный, д.1</w:t>
            </w:r>
          </w:p>
        </w:tc>
      </w:tr>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Региональная энергетическая комиссия Кемеровской области</w:t>
            </w:r>
          </w:p>
          <w:p w:rsidR="004E1423" w:rsidRPr="00766286" w:rsidRDefault="00093957" w:rsidP="00D54C59">
            <w:pPr>
              <w:autoSpaceDE w:val="0"/>
              <w:autoSpaceDN w:val="0"/>
              <w:adjustRightInd w:val="0"/>
              <w:rPr>
                <w:sz w:val="28"/>
                <w:szCs w:val="28"/>
              </w:rPr>
            </w:pPr>
            <w:r w:rsidRPr="00766286">
              <w:rPr>
                <w:sz w:val="28"/>
                <w:szCs w:val="28"/>
              </w:rPr>
              <w:t xml:space="preserve">650993, </w:t>
            </w:r>
            <w:r w:rsidR="009023BD" w:rsidRPr="00766286">
              <w:rPr>
                <w:sz w:val="28"/>
                <w:szCs w:val="28"/>
              </w:rPr>
              <w:t xml:space="preserve">г. Кемерово, </w:t>
            </w:r>
          </w:p>
          <w:p w:rsidR="009023BD" w:rsidRPr="00766286" w:rsidRDefault="009023BD" w:rsidP="00D54C59">
            <w:pPr>
              <w:autoSpaceDE w:val="0"/>
              <w:autoSpaceDN w:val="0"/>
              <w:adjustRightInd w:val="0"/>
              <w:rPr>
                <w:sz w:val="28"/>
                <w:szCs w:val="28"/>
              </w:rPr>
            </w:pPr>
            <w:r w:rsidRPr="00766286">
              <w:rPr>
                <w:sz w:val="28"/>
                <w:szCs w:val="28"/>
              </w:rPr>
              <w:t>ул. Николая Островского, 32</w:t>
            </w:r>
          </w:p>
        </w:tc>
      </w:tr>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417260" w:rsidRPr="00766286" w:rsidRDefault="00417260" w:rsidP="00417260">
            <w:pPr>
              <w:autoSpaceDE w:val="0"/>
              <w:autoSpaceDN w:val="0"/>
              <w:adjustRightInd w:val="0"/>
              <w:rPr>
                <w:sz w:val="28"/>
                <w:szCs w:val="28"/>
              </w:rPr>
            </w:pPr>
            <w:r w:rsidRPr="00766286">
              <w:rPr>
                <w:sz w:val="28"/>
                <w:szCs w:val="28"/>
              </w:rPr>
              <w:t xml:space="preserve">Администрация </w:t>
            </w:r>
            <w:r w:rsidR="008B07DE" w:rsidRPr="00766286">
              <w:rPr>
                <w:sz w:val="28"/>
                <w:szCs w:val="28"/>
              </w:rPr>
              <w:t>Мариинского муниципального района</w:t>
            </w:r>
            <w:r w:rsidRPr="00766286">
              <w:rPr>
                <w:sz w:val="28"/>
                <w:szCs w:val="28"/>
              </w:rPr>
              <w:t xml:space="preserve"> </w:t>
            </w:r>
          </w:p>
          <w:p w:rsidR="00DD4981" w:rsidRDefault="00417260" w:rsidP="00417260">
            <w:pPr>
              <w:autoSpaceDE w:val="0"/>
              <w:autoSpaceDN w:val="0"/>
              <w:adjustRightInd w:val="0"/>
              <w:rPr>
                <w:sz w:val="28"/>
                <w:szCs w:val="28"/>
              </w:rPr>
            </w:pPr>
            <w:r w:rsidRPr="00766286">
              <w:rPr>
                <w:sz w:val="28"/>
                <w:szCs w:val="28"/>
              </w:rPr>
              <w:t>65215</w:t>
            </w:r>
            <w:r w:rsidR="008B07DE" w:rsidRPr="00766286">
              <w:rPr>
                <w:sz w:val="28"/>
                <w:szCs w:val="28"/>
              </w:rPr>
              <w:t>5</w:t>
            </w:r>
            <w:r w:rsidRPr="00766286">
              <w:rPr>
                <w:sz w:val="28"/>
                <w:szCs w:val="28"/>
              </w:rPr>
              <w:t xml:space="preserve">, </w:t>
            </w:r>
            <w:r w:rsidR="008B07DE" w:rsidRPr="00766286">
              <w:rPr>
                <w:sz w:val="28"/>
                <w:szCs w:val="28"/>
              </w:rPr>
              <w:t>г. Мариинск</w:t>
            </w:r>
            <w:r w:rsidRPr="00766286">
              <w:rPr>
                <w:sz w:val="28"/>
                <w:szCs w:val="28"/>
              </w:rPr>
              <w:t xml:space="preserve">, </w:t>
            </w:r>
          </w:p>
          <w:p w:rsidR="008B07DE" w:rsidRPr="00766286" w:rsidRDefault="008B07DE" w:rsidP="00417260">
            <w:pPr>
              <w:autoSpaceDE w:val="0"/>
              <w:autoSpaceDN w:val="0"/>
              <w:adjustRightInd w:val="0"/>
              <w:rPr>
                <w:sz w:val="28"/>
                <w:szCs w:val="28"/>
              </w:rPr>
            </w:pPr>
            <w:r w:rsidRPr="00766286">
              <w:rPr>
                <w:sz w:val="28"/>
                <w:szCs w:val="28"/>
              </w:rPr>
              <w:t>50 Лет Октября, 73 А</w:t>
            </w:r>
          </w:p>
        </w:tc>
      </w:tr>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rsidR="003E716D" w:rsidRPr="00766286" w:rsidRDefault="003E716D" w:rsidP="00D54C59">
            <w:pPr>
              <w:autoSpaceDE w:val="0"/>
              <w:autoSpaceDN w:val="0"/>
              <w:adjustRightInd w:val="0"/>
              <w:rPr>
                <w:sz w:val="28"/>
                <w:szCs w:val="28"/>
              </w:rPr>
            </w:pPr>
            <w:r w:rsidRPr="00766286">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9023BD" w:rsidRPr="00766286" w:rsidRDefault="003E716D" w:rsidP="00D54C59">
            <w:pPr>
              <w:autoSpaceDE w:val="0"/>
              <w:autoSpaceDN w:val="0"/>
              <w:adjustRightInd w:val="0"/>
              <w:rPr>
                <w:sz w:val="28"/>
                <w:szCs w:val="28"/>
              </w:rPr>
            </w:pPr>
            <w:r w:rsidRPr="00766286">
              <w:rPr>
                <w:sz w:val="28"/>
                <w:szCs w:val="28"/>
              </w:rPr>
              <w:t>650025, г. Кемерово, пр. Кузнецкий, 56</w:t>
            </w:r>
          </w:p>
        </w:tc>
      </w:tr>
    </w:tbl>
    <w:p w:rsidR="009023BD" w:rsidRPr="00766286" w:rsidRDefault="009023BD" w:rsidP="009023BD">
      <w:pPr>
        <w:autoSpaceDE w:val="0"/>
        <w:autoSpaceDN w:val="0"/>
        <w:adjustRightInd w:val="0"/>
        <w:ind w:firstLine="540"/>
        <w:jc w:val="both"/>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sectPr w:rsidR="009023BD" w:rsidRPr="00766286" w:rsidSect="003B1587">
          <w:footerReference w:type="default" r:id="rId12"/>
          <w:pgSz w:w="11906" w:h="16838" w:code="9"/>
          <w:pgMar w:top="1279" w:right="1701" w:bottom="851" w:left="851" w:header="425" w:footer="709" w:gutter="0"/>
          <w:cols w:space="708"/>
          <w:docGrid w:linePitch="360"/>
        </w:sectPr>
      </w:pPr>
    </w:p>
    <w:p w:rsidR="009023BD" w:rsidRPr="00766286" w:rsidRDefault="009023BD" w:rsidP="009023BD">
      <w:pPr>
        <w:autoSpaceDE w:val="0"/>
        <w:autoSpaceDN w:val="0"/>
        <w:adjustRightInd w:val="0"/>
        <w:jc w:val="center"/>
        <w:outlineLvl w:val="0"/>
        <w:rPr>
          <w:b/>
          <w:sz w:val="28"/>
          <w:szCs w:val="28"/>
        </w:rPr>
      </w:pPr>
      <w:bookmarkStart w:id="1" w:name="_Hlk495583381"/>
      <w:bookmarkStart w:id="2" w:name="_Hlk495665931"/>
      <w:r w:rsidRPr="00766286">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766286" w:rsidRDefault="00CE13C7" w:rsidP="009023BD">
      <w:pPr>
        <w:autoSpaceDE w:val="0"/>
        <w:autoSpaceDN w:val="0"/>
        <w:adjustRightInd w:val="0"/>
        <w:jc w:val="center"/>
        <w:rPr>
          <w:b/>
          <w:sz w:val="28"/>
          <w:szCs w:val="28"/>
        </w:rPr>
      </w:pPr>
      <w:r w:rsidRPr="00766286">
        <w:rPr>
          <w:b/>
          <w:sz w:val="28"/>
          <w:szCs w:val="28"/>
        </w:rPr>
        <w:t>водоотведения</w:t>
      </w:r>
      <w:r w:rsidR="009023BD" w:rsidRPr="00766286">
        <w:rPr>
          <w:b/>
          <w:sz w:val="28"/>
          <w:szCs w:val="28"/>
        </w:rPr>
        <w:t>, расчет эффективности инвестирования средств</w:t>
      </w:r>
    </w:p>
    <w:p w:rsidR="009023BD" w:rsidRPr="00766286" w:rsidRDefault="009023BD" w:rsidP="009023BD">
      <w:pPr>
        <w:autoSpaceDE w:val="0"/>
        <w:autoSpaceDN w:val="0"/>
        <w:adjustRightInd w:val="0"/>
        <w:ind w:firstLine="540"/>
        <w:jc w:val="both"/>
        <w:rPr>
          <w:b/>
          <w:sz w:val="28"/>
          <w:szCs w:val="28"/>
        </w:rPr>
      </w:pPr>
    </w:p>
    <w:tbl>
      <w:tblPr>
        <w:tblW w:w="1566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516"/>
        <w:gridCol w:w="6520"/>
        <w:gridCol w:w="1225"/>
        <w:gridCol w:w="777"/>
        <w:gridCol w:w="777"/>
        <w:gridCol w:w="777"/>
        <w:gridCol w:w="777"/>
        <w:gridCol w:w="777"/>
      </w:tblGrid>
      <w:tr w:rsidR="004E1423" w:rsidRPr="00766286" w:rsidTr="001F734E">
        <w:trPr>
          <w:trHeight w:val="284"/>
        </w:trPr>
        <w:tc>
          <w:tcPr>
            <w:tcW w:w="517" w:type="dxa"/>
            <w:vMerge w:val="restart"/>
            <w:shd w:val="clear" w:color="000000" w:fill="FFFFFF"/>
            <w:tcMar>
              <w:left w:w="57" w:type="dxa"/>
              <w:right w:w="57" w:type="dxa"/>
            </w:tcMar>
            <w:vAlign w:val="center"/>
            <w:hideMark/>
          </w:tcPr>
          <w:bookmarkEnd w:id="1"/>
          <w:p w:rsidR="004E1423" w:rsidRPr="00766286" w:rsidRDefault="004E1423" w:rsidP="004E1423">
            <w:pPr>
              <w:jc w:val="center"/>
              <w:rPr>
                <w:color w:val="000000"/>
                <w:sz w:val="24"/>
                <w:szCs w:val="24"/>
              </w:rPr>
            </w:pPr>
            <w:r w:rsidRPr="00766286">
              <w:rPr>
                <w:color w:val="000000"/>
                <w:sz w:val="24"/>
                <w:szCs w:val="24"/>
              </w:rPr>
              <w:t>№ п/п</w:t>
            </w:r>
          </w:p>
        </w:tc>
        <w:tc>
          <w:tcPr>
            <w:tcW w:w="3516" w:type="dxa"/>
            <w:vMerge w:val="restart"/>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Наименование целевого показателя</w:t>
            </w:r>
          </w:p>
        </w:tc>
        <w:tc>
          <w:tcPr>
            <w:tcW w:w="6520" w:type="dxa"/>
            <w:vMerge w:val="restart"/>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Данные, используемые для установления целевого показателя</w:t>
            </w:r>
          </w:p>
        </w:tc>
        <w:tc>
          <w:tcPr>
            <w:tcW w:w="1225" w:type="dxa"/>
            <w:vMerge w:val="restart"/>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Единица измерения</w:t>
            </w:r>
          </w:p>
        </w:tc>
        <w:tc>
          <w:tcPr>
            <w:tcW w:w="3885" w:type="dxa"/>
            <w:gridSpan w:val="5"/>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1"/>
              </w:rPr>
              <w:t>Значение по годам</w:t>
            </w:r>
          </w:p>
        </w:tc>
      </w:tr>
      <w:tr w:rsidR="004E1423" w:rsidRPr="00766286" w:rsidTr="001F734E">
        <w:trPr>
          <w:trHeight w:val="284"/>
          <w:tblHeader/>
        </w:trPr>
        <w:tc>
          <w:tcPr>
            <w:tcW w:w="517" w:type="dxa"/>
            <w:vMerge/>
            <w:tcMar>
              <w:left w:w="57" w:type="dxa"/>
              <w:right w:w="57" w:type="dxa"/>
            </w:tcMar>
            <w:vAlign w:val="center"/>
            <w:hideMark/>
          </w:tcPr>
          <w:p w:rsidR="004E1423" w:rsidRPr="00766286" w:rsidRDefault="004E1423" w:rsidP="004E1423">
            <w:pPr>
              <w:rPr>
                <w:color w:val="000000"/>
                <w:sz w:val="24"/>
                <w:szCs w:val="24"/>
              </w:rPr>
            </w:pPr>
          </w:p>
        </w:tc>
        <w:tc>
          <w:tcPr>
            <w:tcW w:w="3516" w:type="dxa"/>
            <w:vMerge/>
            <w:tcMar>
              <w:left w:w="57" w:type="dxa"/>
              <w:right w:w="57" w:type="dxa"/>
            </w:tcMar>
            <w:vAlign w:val="center"/>
            <w:hideMark/>
          </w:tcPr>
          <w:p w:rsidR="004E1423" w:rsidRPr="00766286" w:rsidRDefault="004E1423" w:rsidP="004E1423">
            <w:pPr>
              <w:rPr>
                <w:color w:val="000000"/>
                <w:sz w:val="24"/>
                <w:szCs w:val="24"/>
              </w:rPr>
            </w:pPr>
          </w:p>
        </w:tc>
        <w:tc>
          <w:tcPr>
            <w:tcW w:w="6520" w:type="dxa"/>
            <w:vMerge/>
            <w:tcMar>
              <w:left w:w="57" w:type="dxa"/>
              <w:right w:w="57" w:type="dxa"/>
            </w:tcMar>
            <w:vAlign w:val="center"/>
            <w:hideMark/>
          </w:tcPr>
          <w:p w:rsidR="004E1423" w:rsidRPr="00766286" w:rsidRDefault="004E1423" w:rsidP="004E1423">
            <w:pPr>
              <w:rPr>
                <w:color w:val="000000"/>
                <w:sz w:val="24"/>
                <w:szCs w:val="24"/>
              </w:rPr>
            </w:pPr>
          </w:p>
        </w:tc>
        <w:tc>
          <w:tcPr>
            <w:tcW w:w="1225" w:type="dxa"/>
            <w:vMerge/>
            <w:tcMar>
              <w:left w:w="57" w:type="dxa"/>
              <w:right w:w="57" w:type="dxa"/>
            </w:tcMar>
            <w:vAlign w:val="center"/>
            <w:hideMark/>
          </w:tcPr>
          <w:p w:rsidR="004E1423" w:rsidRPr="00766286" w:rsidRDefault="004E1423" w:rsidP="004E1423">
            <w:pPr>
              <w:rPr>
                <w:color w:val="000000"/>
                <w:sz w:val="24"/>
                <w:szCs w:val="24"/>
              </w:rPr>
            </w:pPr>
          </w:p>
        </w:tc>
        <w:tc>
          <w:tcPr>
            <w:tcW w:w="777" w:type="dxa"/>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2018</w:t>
            </w:r>
          </w:p>
        </w:tc>
        <w:tc>
          <w:tcPr>
            <w:tcW w:w="777" w:type="dxa"/>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 xml:space="preserve">2019 </w:t>
            </w:r>
          </w:p>
        </w:tc>
        <w:tc>
          <w:tcPr>
            <w:tcW w:w="777" w:type="dxa"/>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 xml:space="preserve">2020 </w:t>
            </w:r>
          </w:p>
        </w:tc>
        <w:tc>
          <w:tcPr>
            <w:tcW w:w="777" w:type="dxa"/>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2021</w:t>
            </w:r>
          </w:p>
        </w:tc>
        <w:tc>
          <w:tcPr>
            <w:tcW w:w="777" w:type="dxa"/>
            <w:shd w:val="clear" w:color="000000" w:fill="FFFFFF"/>
            <w:tcMar>
              <w:left w:w="57" w:type="dxa"/>
              <w:right w:w="57" w:type="dxa"/>
            </w:tcMar>
            <w:vAlign w:val="center"/>
            <w:hideMark/>
          </w:tcPr>
          <w:p w:rsidR="004E1423" w:rsidRPr="00766286" w:rsidRDefault="004E1423" w:rsidP="004E1423">
            <w:pPr>
              <w:jc w:val="center"/>
              <w:rPr>
                <w:color w:val="000000"/>
                <w:sz w:val="24"/>
                <w:szCs w:val="24"/>
              </w:rPr>
            </w:pPr>
            <w:r w:rsidRPr="00766286">
              <w:rPr>
                <w:color w:val="000000"/>
                <w:sz w:val="24"/>
                <w:szCs w:val="24"/>
              </w:rPr>
              <w:t>2022</w:t>
            </w:r>
          </w:p>
        </w:tc>
      </w:tr>
      <w:tr w:rsidR="004E1423" w:rsidRPr="00766286" w:rsidTr="001F734E">
        <w:trPr>
          <w:trHeight w:val="143"/>
          <w:tblHeader/>
        </w:trPr>
        <w:tc>
          <w:tcPr>
            <w:tcW w:w="517" w:type="dxa"/>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1</w:t>
            </w:r>
          </w:p>
        </w:tc>
        <w:tc>
          <w:tcPr>
            <w:tcW w:w="3516" w:type="dxa"/>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2</w:t>
            </w:r>
          </w:p>
        </w:tc>
        <w:tc>
          <w:tcPr>
            <w:tcW w:w="6520" w:type="dxa"/>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3</w:t>
            </w:r>
          </w:p>
        </w:tc>
        <w:tc>
          <w:tcPr>
            <w:tcW w:w="1225" w:type="dxa"/>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4</w:t>
            </w:r>
          </w:p>
        </w:tc>
        <w:tc>
          <w:tcPr>
            <w:tcW w:w="777" w:type="dxa"/>
            <w:shd w:val="clear" w:color="000000" w:fill="FFFFFF"/>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5</w:t>
            </w:r>
          </w:p>
        </w:tc>
        <w:tc>
          <w:tcPr>
            <w:tcW w:w="777" w:type="dxa"/>
            <w:shd w:val="clear" w:color="000000" w:fill="FFFFFF"/>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6</w:t>
            </w:r>
          </w:p>
        </w:tc>
        <w:tc>
          <w:tcPr>
            <w:tcW w:w="777" w:type="dxa"/>
            <w:shd w:val="clear" w:color="000000" w:fill="FFFFFF"/>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7</w:t>
            </w:r>
          </w:p>
        </w:tc>
        <w:tc>
          <w:tcPr>
            <w:tcW w:w="777" w:type="dxa"/>
            <w:shd w:val="clear" w:color="000000" w:fill="FFFFFF"/>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8</w:t>
            </w:r>
          </w:p>
        </w:tc>
        <w:tc>
          <w:tcPr>
            <w:tcW w:w="777" w:type="dxa"/>
            <w:shd w:val="clear" w:color="000000" w:fill="FFFFFF"/>
            <w:tcMar>
              <w:left w:w="57" w:type="dxa"/>
              <w:right w:w="57" w:type="dxa"/>
            </w:tcMar>
            <w:vAlign w:val="center"/>
          </w:tcPr>
          <w:p w:rsidR="004E1423" w:rsidRPr="00766286" w:rsidRDefault="004E1423" w:rsidP="004E1423">
            <w:pPr>
              <w:jc w:val="center"/>
              <w:rPr>
                <w:color w:val="000000"/>
                <w:sz w:val="24"/>
                <w:szCs w:val="24"/>
              </w:rPr>
            </w:pPr>
            <w:r w:rsidRPr="00766286">
              <w:rPr>
                <w:color w:val="000000"/>
                <w:sz w:val="24"/>
                <w:szCs w:val="24"/>
              </w:rPr>
              <w:t>9</w:t>
            </w:r>
          </w:p>
        </w:tc>
      </w:tr>
      <w:tr w:rsidR="001F734E" w:rsidRPr="00766286" w:rsidTr="001F734E">
        <w:trPr>
          <w:trHeight w:val="284"/>
        </w:trPr>
        <w:tc>
          <w:tcPr>
            <w:tcW w:w="517" w:type="dxa"/>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w:t>
            </w:r>
          </w:p>
        </w:tc>
        <w:tc>
          <w:tcPr>
            <w:tcW w:w="3516" w:type="dxa"/>
            <w:tcMar>
              <w:left w:w="57" w:type="dxa"/>
              <w:right w:w="57" w:type="dxa"/>
            </w:tcMar>
            <w:vAlign w:val="center"/>
            <w:hideMark/>
          </w:tcPr>
          <w:p w:rsidR="001F734E" w:rsidRPr="00766286" w:rsidRDefault="001F734E" w:rsidP="00156317">
            <w:pPr>
              <w:rPr>
                <w:color w:val="000000"/>
                <w:sz w:val="24"/>
                <w:szCs w:val="24"/>
              </w:rPr>
            </w:pPr>
            <w:r w:rsidRPr="00766286">
              <w:rPr>
                <w:color w:val="000000"/>
                <w:sz w:val="24"/>
                <w:szCs w:val="24"/>
              </w:rPr>
              <w:t>Целевые показатели надежности и бесперебойности водоотведения</w:t>
            </w: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Аварийность централизованных систем водоотведения</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ед. на 1 км</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w:t>
            </w:r>
          </w:p>
        </w:tc>
      </w:tr>
      <w:tr w:rsidR="001F734E" w:rsidRPr="00766286" w:rsidTr="001F734E">
        <w:trPr>
          <w:trHeight w:val="284"/>
        </w:trPr>
        <w:tc>
          <w:tcPr>
            <w:tcW w:w="517" w:type="dxa"/>
            <w:vMerge w:val="restart"/>
            <w:shd w:val="clear" w:color="000000" w:fill="FFFFFF"/>
            <w:tcMar>
              <w:left w:w="57" w:type="dxa"/>
              <w:right w:w="57" w:type="dxa"/>
            </w:tcMar>
            <w:vAlign w:val="center"/>
          </w:tcPr>
          <w:p w:rsidR="001F734E" w:rsidRPr="00766286" w:rsidRDefault="001F734E" w:rsidP="001F734E">
            <w:pPr>
              <w:jc w:val="center"/>
              <w:rPr>
                <w:color w:val="000000"/>
                <w:sz w:val="24"/>
                <w:szCs w:val="24"/>
              </w:rPr>
            </w:pPr>
            <w:r w:rsidRPr="00766286">
              <w:rPr>
                <w:color w:val="000000"/>
                <w:sz w:val="24"/>
                <w:szCs w:val="24"/>
              </w:rPr>
              <w:t>2</w:t>
            </w:r>
          </w:p>
        </w:tc>
        <w:tc>
          <w:tcPr>
            <w:tcW w:w="3516" w:type="dxa"/>
            <w:vMerge w:val="restart"/>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Целевые показатели качества обслуживания абонентов</w:t>
            </w: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Среднее время ожидания ответа оператора по телефону «горячей линии»</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мин.</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w:t>
            </w:r>
          </w:p>
        </w:tc>
      </w:tr>
      <w:tr w:rsidR="001F734E" w:rsidRPr="00766286" w:rsidTr="001F734E">
        <w:trPr>
          <w:trHeight w:val="284"/>
        </w:trPr>
        <w:tc>
          <w:tcPr>
            <w:tcW w:w="517" w:type="dxa"/>
            <w:vMerge/>
            <w:tcMar>
              <w:left w:w="57" w:type="dxa"/>
              <w:right w:w="57" w:type="dxa"/>
            </w:tcMar>
            <w:vAlign w:val="center"/>
          </w:tcPr>
          <w:p w:rsidR="001F734E" w:rsidRPr="00766286" w:rsidRDefault="001F734E" w:rsidP="001F734E">
            <w:pPr>
              <w:rPr>
                <w:color w:val="000000"/>
                <w:sz w:val="24"/>
                <w:szCs w:val="24"/>
              </w:rPr>
            </w:pPr>
          </w:p>
        </w:tc>
        <w:tc>
          <w:tcPr>
            <w:tcW w:w="3516" w:type="dxa"/>
            <w:vMerge/>
            <w:tcMar>
              <w:left w:w="57" w:type="dxa"/>
              <w:right w:w="57" w:type="dxa"/>
            </w:tcMar>
            <w:vAlign w:val="center"/>
            <w:hideMark/>
          </w:tcPr>
          <w:p w:rsidR="001F734E" w:rsidRPr="00766286" w:rsidRDefault="001F734E" w:rsidP="001F734E">
            <w:pPr>
              <w:rPr>
                <w:color w:val="000000"/>
                <w:sz w:val="24"/>
                <w:szCs w:val="24"/>
              </w:rPr>
            </w:pP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Доля заявок на подключение, исполненная по итогам года</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94</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94</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94</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94</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94</w:t>
            </w:r>
          </w:p>
        </w:tc>
      </w:tr>
      <w:tr w:rsidR="001F734E" w:rsidRPr="00766286" w:rsidTr="001F734E">
        <w:trPr>
          <w:trHeight w:val="284"/>
        </w:trPr>
        <w:tc>
          <w:tcPr>
            <w:tcW w:w="517" w:type="dxa"/>
            <w:vMerge w:val="restart"/>
            <w:shd w:val="clear" w:color="000000" w:fill="FFFFFF"/>
            <w:tcMar>
              <w:left w:w="57" w:type="dxa"/>
              <w:right w:w="57" w:type="dxa"/>
            </w:tcMar>
            <w:vAlign w:val="center"/>
          </w:tcPr>
          <w:p w:rsidR="001F734E" w:rsidRPr="00766286" w:rsidRDefault="001F734E" w:rsidP="001F734E">
            <w:pPr>
              <w:jc w:val="center"/>
              <w:rPr>
                <w:color w:val="000000"/>
                <w:sz w:val="24"/>
                <w:szCs w:val="24"/>
              </w:rPr>
            </w:pPr>
            <w:r w:rsidRPr="00766286">
              <w:rPr>
                <w:color w:val="000000"/>
                <w:sz w:val="24"/>
                <w:szCs w:val="24"/>
              </w:rPr>
              <w:t>3</w:t>
            </w:r>
          </w:p>
        </w:tc>
        <w:tc>
          <w:tcPr>
            <w:tcW w:w="3516" w:type="dxa"/>
            <w:vMerge w:val="restart"/>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Целевой показатель очистки сточных вод</w:t>
            </w: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100</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100</w:t>
            </w:r>
          </w:p>
        </w:tc>
      </w:tr>
      <w:tr w:rsidR="001F734E" w:rsidRPr="00766286" w:rsidTr="001F734E">
        <w:trPr>
          <w:trHeight w:val="284"/>
        </w:trPr>
        <w:tc>
          <w:tcPr>
            <w:tcW w:w="517" w:type="dxa"/>
            <w:vMerge/>
            <w:tcMar>
              <w:left w:w="57" w:type="dxa"/>
              <w:right w:w="57" w:type="dxa"/>
            </w:tcMar>
            <w:vAlign w:val="center"/>
          </w:tcPr>
          <w:p w:rsidR="001F734E" w:rsidRPr="00766286" w:rsidRDefault="001F734E" w:rsidP="001F734E">
            <w:pPr>
              <w:rPr>
                <w:color w:val="000000"/>
                <w:sz w:val="24"/>
                <w:szCs w:val="24"/>
              </w:rPr>
            </w:pPr>
          </w:p>
        </w:tc>
        <w:tc>
          <w:tcPr>
            <w:tcW w:w="3516" w:type="dxa"/>
            <w:vMerge/>
            <w:tcMar>
              <w:left w:w="57" w:type="dxa"/>
              <w:right w:w="57" w:type="dxa"/>
            </w:tcMar>
            <w:vAlign w:val="center"/>
            <w:hideMark/>
          </w:tcPr>
          <w:p w:rsidR="001F734E" w:rsidRPr="00766286" w:rsidRDefault="001F734E" w:rsidP="001F734E">
            <w:pPr>
              <w:rPr>
                <w:color w:val="000000"/>
                <w:sz w:val="24"/>
                <w:szCs w:val="24"/>
              </w:rPr>
            </w:pP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Доля сточных вод, сбрасываемых в водный объект, в пределах нормативов допустимых сбросов и лимитов на сбросы</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54,5</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63,6</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63,6</w:t>
            </w:r>
          </w:p>
        </w:tc>
        <w:tc>
          <w:tcPr>
            <w:tcW w:w="777" w:type="dxa"/>
            <w:shd w:val="clear" w:color="000000" w:fill="FFFFFF"/>
            <w:tcMar>
              <w:left w:w="57" w:type="dxa"/>
              <w:right w:w="57" w:type="dxa"/>
            </w:tcMar>
            <w:vAlign w:val="center"/>
            <w:hideMark/>
          </w:tcPr>
          <w:p w:rsidR="001F734E" w:rsidRPr="00766286" w:rsidRDefault="001F734E" w:rsidP="001F734E">
            <w:pPr>
              <w:ind w:right="-1"/>
              <w:jc w:val="center"/>
              <w:rPr>
                <w:color w:val="000000"/>
                <w:sz w:val="24"/>
                <w:szCs w:val="24"/>
              </w:rPr>
            </w:pPr>
            <w:r w:rsidRPr="00766286">
              <w:rPr>
                <w:color w:val="000000"/>
                <w:sz w:val="24"/>
                <w:szCs w:val="24"/>
              </w:rPr>
              <w:t>72,7</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72,7</w:t>
            </w:r>
          </w:p>
        </w:tc>
      </w:tr>
      <w:tr w:rsidR="001F734E" w:rsidRPr="00766286" w:rsidTr="001F734E">
        <w:trPr>
          <w:trHeight w:val="284"/>
        </w:trPr>
        <w:tc>
          <w:tcPr>
            <w:tcW w:w="517" w:type="dxa"/>
            <w:vMerge/>
            <w:tcMar>
              <w:left w:w="57" w:type="dxa"/>
              <w:right w:w="57" w:type="dxa"/>
            </w:tcMar>
            <w:vAlign w:val="center"/>
          </w:tcPr>
          <w:p w:rsidR="001F734E" w:rsidRPr="00766286" w:rsidRDefault="001F734E" w:rsidP="001F734E">
            <w:pPr>
              <w:rPr>
                <w:color w:val="000000"/>
                <w:sz w:val="24"/>
                <w:szCs w:val="24"/>
              </w:rPr>
            </w:pPr>
          </w:p>
        </w:tc>
        <w:tc>
          <w:tcPr>
            <w:tcW w:w="3516" w:type="dxa"/>
            <w:vMerge/>
            <w:tcMar>
              <w:left w:w="57" w:type="dxa"/>
              <w:right w:w="57" w:type="dxa"/>
            </w:tcMar>
            <w:vAlign w:val="center"/>
            <w:hideMark/>
          </w:tcPr>
          <w:p w:rsidR="001F734E" w:rsidRPr="00766286" w:rsidRDefault="001F734E" w:rsidP="001F734E">
            <w:pPr>
              <w:rPr>
                <w:color w:val="000000"/>
                <w:sz w:val="24"/>
                <w:szCs w:val="24"/>
              </w:rPr>
            </w:pPr>
          </w:p>
        </w:tc>
        <w:tc>
          <w:tcPr>
            <w:tcW w:w="6520" w:type="dxa"/>
            <w:shd w:val="clear" w:color="000000" w:fill="FFFFFF"/>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225"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45,5</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36,5</w:t>
            </w:r>
          </w:p>
        </w:tc>
        <w:tc>
          <w:tcPr>
            <w:tcW w:w="777" w:type="dxa"/>
            <w:shd w:val="clear" w:color="000000" w:fill="FFFFFF"/>
            <w:tcMar>
              <w:left w:w="57" w:type="dxa"/>
              <w:right w:w="57" w:type="dxa"/>
            </w:tcMar>
            <w:vAlign w:val="center"/>
            <w:hideMark/>
          </w:tcPr>
          <w:p w:rsidR="001F734E" w:rsidRPr="00766286" w:rsidRDefault="001F734E" w:rsidP="001F734E">
            <w:pPr>
              <w:spacing w:line="276" w:lineRule="auto"/>
              <w:jc w:val="center"/>
              <w:rPr>
                <w:color w:val="000000"/>
                <w:sz w:val="24"/>
                <w:szCs w:val="24"/>
              </w:rPr>
            </w:pPr>
            <w:r w:rsidRPr="00766286">
              <w:rPr>
                <w:color w:val="000000"/>
                <w:sz w:val="24"/>
                <w:szCs w:val="24"/>
              </w:rPr>
              <w:t>36,5</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27,3</w:t>
            </w:r>
          </w:p>
        </w:tc>
        <w:tc>
          <w:tcPr>
            <w:tcW w:w="777" w:type="dxa"/>
            <w:shd w:val="clear" w:color="000000" w:fill="FFFFFF"/>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27,3</w:t>
            </w:r>
          </w:p>
        </w:tc>
      </w:tr>
      <w:tr w:rsidR="001F734E" w:rsidRPr="00766286" w:rsidTr="001F734E">
        <w:trPr>
          <w:trHeight w:val="284"/>
        </w:trPr>
        <w:tc>
          <w:tcPr>
            <w:tcW w:w="517" w:type="dxa"/>
            <w:vMerge w:val="restart"/>
            <w:tcMar>
              <w:left w:w="57" w:type="dxa"/>
              <w:right w:w="57" w:type="dxa"/>
            </w:tcMar>
            <w:vAlign w:val="center"/>
          </w:tcPr>
          <w:p w:rsidR="001F734E" w:rsidRPr="00766286" w:rsidRDefault="001F734E" w:rsidP="001F734E">
            <w:pPr>
              <w:jc w:val="center"/>
              <w:rPr>
                <w:color w:val="000000"/>
                <w:sz w:val="24"/>
                <w:szCs w:val="24"/>
              </w:rPr>
            </w:pPr>
            <w:r w:rsidRPr="00766286">
              <w:rPr>
                <w:color w:val="000000"/>
                <w:sz w:val="24"/>
                <w:szCs w:val="24"/>
              </w:rPr>
              <w:t>4</w:t>
            </w:r>
          </w:p>
        </w:tc>
        <w:tc>
          <w:tcPr>
            <w:tcW w:w="3516" w:type="dxa"/>
            <w:vMerge w:val="restart"/>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Показатель энергетической эффективности</w:t>
            </w:r>
          </w:p>
        </w:tc>
        <w:tc>
          <w:tcPr>
            <w:tcW w:w="6520" w:type="dxa"/>
            <w:shd w:val="clear" w:color="auto" w:fill="auto"/>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225" w:type="dxa"/>
            <w:shd w:val="clear" w:color="auto" w:fill="auto"/>
            <w:tcMar>
              <w:left w:w="57" w:type="dxa"/>
              <w:right w:w="57" w:type="dxa"/>
            </w:tcMar>
            <w:vAlign w:val="center"/>
            <w:hideMark/>
          </w:tcPr>
          <w:p w:rsidR="001F734E" w:rsidRPr="00766286" w:rsidRDefault="00F60D2B" w:rsidP="001F734E">
            <w:pPr>
              <w:jc w:val="center"/>
              <w:rPr>
                <w:color w:val="000000"/>
                <w:sz w:val="24"/>
                <w:szCs w:val="24"/>
              </w:rPr>
            </w:pPr>
            <w:r>
              <w:rPr>
                <w:color w:val="000000"/>
                <w:sz w:val="24"/>
                <w:szCs w:val="24"/>
              </w:rPr>
              <w:t>(к</w:t>
            </w:r>
            <w:r w:rsidR="001F734E" w:rsidRPr="00766286">
              <w:rPr>
                <w:color w:val="000000"/>
                <w:sz w:val="24"/>
                <w:szCs w:val="24"/>
              </w:rPr>
              <w:t>Вт*ч/</w:t>
            </w:r>
            <w:r>
              <w:rPr>
                <w:color w:val="000000"/>
                <w:sz w:val="24"/>
                <w:szCs w:val="24"/>
              </w:rPr>
              <w:t>м</w:t>
            </w:r>
            <w:r>
              <w:rPr>
                <w:color w:val="000000"/>
                <w:sz w:val="24"/>
                <w:szCs w:val="24"/>
                <w:vertAlign w:val="superscript"/>
              </w:rPr>
              <w:t>3</w:t>
            </w:r>
            <w:r w:rsidR="001F734E" w:rsidRPr="00766286">
              <w:rPr>
                <w:color w:val="000000"/>
                <w:sz w:val="24"/>
                <w:szCs w:val="24"/>
              </w:rPr>
              <w:t>)</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0,93</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0,93</w:t>
            </w:r>
          </w:p>
        </w:tc>
        <w:tc>
          <w:tcPr>
            <w:tcW w:w="777" w:type="dxa"/>
            <w:shd w:val="clear" w:color="auto" w:fill="auto"/>
            <w:tcMar>
              <w:left w:w="57" w:type="dxa"/>
              <w:right w:w="57" w:type="dxa"/>
            </w:tcMar>
            <w:vAlign w:val="center"/>
            <w:hideMark/>
          </w:tcPr>
          <w:p w:rsidR="001F734E" w:rsidRPr="00766286" w:rsidRDefault="001F734E" w:rsidP="001F734E">
            <w:pPr>
              <w:ind w:firstLine="23"/>
              <w:jc w:val="center"/>
              <w:rPr>
                <w:color w:val="000000"/>
                <w:sz w:val="24"/>
                <w:szCs w:val="24"/>
              </w:rPr>
            </w:pPr>
            <w:r w:rsidRPr="00766286">
              <w:rPr>
                <w:color w:val="000000"/>
                <w:sz w:val="24"/>
                <w:szCs w:val="24"/>
              </w:rPr>
              <w:t>0,93</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1,9</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1,9</w:t>
            </w:r>
          </w:p>
        </w:tc>
      </w:tr>
      <w:tr w:rsidR="001F734E" w:rsidRPr="00766286" w:rsidTr="001F734E">
        <w:trPr>
          <w:trHeight w:val="284"/>
        </w:trPr>
        <w:tc>
          <w:tcPr>
            <w:tcW w:w="517" w:type="dxa"/>
            <w:vMerge/>
            <w:tcMar>
              <w:left w:w="57" w:type="dxa"/>
              <w:right w:w="57" w:type="dxa"/>
            </w:tcMar>
            <w:vAlign w:val="center"/>
          </w:tcPr>
          <w:p w:rsidR="001F734E" w:rsidRPr="00766286" w:rsidRDefault="001F734E" w:rsidP="001F734E">
            <w:pPr>
              <w:rPr>
                <w:color w:val="000000"/>
                <w:sz w:val="24"/>
                <w:szCs w:val="24"/>
              </w:rPr>
            </w:pPr>
          </w:p>
        </w:tc>
        <w:tc>
          <w:tcPr>
            <w:tcW w:w="3516" w:type="dxa"/>
            <w:vMerge/>
            <w:tcMar>
              <w:left w:w="57" w:type="dxa"/>
              <w:right w:w="57" w:type="dxa"/>
            </w:tcMar>
            <w:vAlign w:val="center"/>
            <w:hideMark/>
          </w:tcPr>
          <w:p w:rsidR="001F734E" w:rsidRPr="00766286" w:rsidRDefault="001F734E" w:rsidP="001F734E">
            <w:pPr>
              <w:rPr>
                <w:color w:val="000000"/>
                <w:sz w:val="24"/>
                <w:szCs w:val="24"/>
              </w:rPr>
            </w:pPr>
          </w:p>
        </w:tc>
        <w:tc>
          <w:tcPr>
            <w:tcW w:w="6520" w:type="dxa"/>
            <w:shd w:val="clear" w:color="auto" w:fill="auto"/>
            <w:tcMar>
              <w:left w:w="57" w:type="dxa"/>
              <w:right w:w="57" w:type="dxa"/>
            </w:tcMar>
            <w:vAlign w:val="center"/>
            <w:hideMark/>
          </w:tcPr>
          <w:p w:rsidR="001F734E" w:rsidRPr="00766286" w:rsidRDefault="001F734E" w:rsidP="001F734E">
            <w:pPr>
              <w:rPr>
                <w:color w:val="000000"/>
                <w:sz w:val="24"/>
                <w:szCs w:val="24"/>
              </w:rPr>
            </w:pPr>
            <w:r w:rsidRPr="00766286">
              <w:rPr>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225" w:type="dxa"/>
            <w:shd w:val="clear" w:color="auto" w:fill="auto"/>
            <w:tcMar>
              <w:left w:w="57" w:type="dxa"/>
              <w:right w:w="57" w:type="dxa"/>
            </w:tcMar>
            <w:vAlign w:val="center"/>
            <w:hideMark/>
          </w:tcPr>
          <w:p w:rsidR="001F734E" w:rsidRPr="00766286" w:rsidRDefault="00F60D2B" w:rsidP="001F734E">
            <w:pPr>
              <w:jc w:val="center"/>
              <w:rPr>
                <w:color w:val="000000"/>
                <w:sz w:val="24"/>
                <w:szCs w:val="24"/>
              </w:rPr>
            </w:pPr>
            <w:r>
              <w:rPr>
                <w:color w:val="000000"/>
                <w:sz w:val="24"/>
                <w:szCs w:val="24"/>
              </w:rPr>
              <w:t>(</w:t>
            </w:r>
            <w:r w:rsidR="001F734E" w:rsidRPr="00766286">
              <w:rPr>
                <w:color w:val="000000"/>
                <w:sz w:val="24"/>
                <w:szCs w:val="24"/>
              </w:rPr>
              <w:t>кВт*ч/</w:t>
            </w:r>
            <w:r>
              <w:rPr>
                <w:color w:val="000000"/>
                <w:sz w:val="24"/>
                <w:szCs w:val="24"/>
              </w:rPr>
              <w:t>м</w:t>
            </w:r>
            <w:r>
              <w:rPr>
                <w:color w:val="000000"/>
                <w:sz w:val="24"/>
                <w:szCs w:val="24"/>
                <w:vertAlign w:val="superscript"/>
              </w:rPr>
              <w:t>3</w:t>
            </w:r>
            <w:r w:rsidR="001F734E" w:rsidRPr="00766286">
              <w:rPr>
                <w:color w:val="000000"/>
                <w:sz w:val="24"/>
                <w:szCs w:val="24"/>
              </w:rPr>
              <w:t>)</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0,02</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0,02</w:t>
            </w:r>
          </w:p>
        </w:tc>
        <w:tc>
          <w:tcPr>
            <w:tcW w:w="777" w:type="dxa"/>
            <w:shd w:val="clear" w:color="auto" w:fill="auto"/>
            <w:tcMar>
              <w:left w:w="57" w:type="dxa"/>
              <w:right w:w="57" w:type="dxa"/>
            </w:tcMar>
            <w:vAlign w:val="center"/>
            <w:hideMark/>
          </w:tcPr>
          <w:p w:rsidR="001F734E" w:rsidRPr="00766286" w:rsidRDefault="001F734E" w:rsidP="001F734E">
            <w:pPr>
              <w:ind w:firstLine="23"/>
              <w:jc w:val="center"/>
              <w:rPr>
                <w:color w:val="000000"/>
                <w:sz w:val="24"/>
                <w:szCs w:val="24"/>
              </w:rPr>
            </w:pPr>
            <w:r w:rsidRPr="00766286">
              <w:rPr>
                <w:color w:val="000000"/>
                <w:sz w:val="24"/>
                <w:szCs w:val="24"/>
              </w:rPr>
              <w:t>0,02</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0,02</w:t>
            </w:r>
          </w:p>
        </w:tc>
        <w:tc>
          <w:tcPr>
            <w:tcW w:w="777" w:type="dxa"/>
            <w:shd w:val="clear" w:color="auto" w:fill="auto"/>
            <w:tcMar>
              <w:left w:w="57" w:type="dxa"/>
              <w:right w:w="57" w:type="dxa"/>
            </w:tcMar>
            <w:vAlign w:val="center"/>
            <w:hideMark/>
          </w:tcPr>
          <w:p w:rsidR="001F734E" w:rsidRPr="00766286" w:rsidRDefault="001F734E" w:rsidP="001F734E">
            <w:pPr>
              <w:jc w:val="center"/>
              <w:rPr>
                <w:color w:val="000000"/>
                <w:sz w:val="24"/>
                <w:szCs w:val="24"/>
              </w:rPr>
            </w:pPr>
            <w:r w:rsidRPr="00766286">
              <w:rPr>
                <w:color w:val="000000"/>
                <w:sz w:val="24"/>
                <w:szCs w:val="24"/>
              </w:rPr>
              <w:t>0,02</w:t>
            </w:r>
          </w:p>
        </w:tc>
      </w:tr>
      <w:bookmarkEnd w:id="2"/>
    </w:tbl>
    <w:p w:rsidR="009023BD" w:rsidRPr="00766286" w:rsidRDefault="009023BD" w:rsidP="009023BD">
      <w:pPr>
        <w:autoSpaceDE w:val="0"/>
        <w:autoSpaceDN w:val="0"/>
        <w:adjustRightInd w:val="0"/>
        <w:jc w:val="center"/>
        <w:outlineLvl w:val="0"/>
        <w:rPr>
          <w:b/>
          <w:sz w:val="28"/>
          <w:szCs w:val="28"/>
        </w:rPr>
      </w:pPr>
      <w:r w:rsidRPr="00766286">
        <w:rPr>
          <w:sz w:val="28"/>
          <w:szCs w:val="28"/>
        </w:rPr>
        <w:br w:type="page"/>
      </w:r>
      <w:r w:rsidRPr="00766286">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CE13C7" w:rsidRPr="00766286">
        <w:rPr>
          <w:b/>
          <w:sz w:val="28"/>
          <w:szCs w:val="28"/>
        </w:rPr>
        <w:t>водоотведения</w:t>
      </w:r>
      <w:r w:rsidRPr="00766286">
        <w:rPr>
          <w:b/>
          <w:sz w:val="28"/>
          <w:szCs w:val="28"/>
        </w:rPr>
        <w:t>, график реализации мероприятий, источники финансирования инвестиционной программы</w:t>
      </w:r>
    </w:p>
    <w:p w:rsidR="00DB6E9D" w:rsidRPr="00766286" w:rsidRDefault="00DB6E9D" w:rsidP="009023BD">
      <w:pPr>
        <w:autoSpaceDE w:val="0"/>
        <w:autoSpaceDN w:val="0"/>
        <w:adjustRightInd w:val="0"/>
        <w:ind w:firstLine="540"/>
        <w:jc w:val="both"/>
      </w:pPr>
    </w:p>
    <w:p w:rsidR="009023BD" w:rsidRPr="00766286" w:rsidRDefault="00F93AD9" w:rsidP="009023BD">
      <w:pPr>
        <w:pStyle w:val="ConsPlusNormal"/>
        <w:jc w:val="right"/>
        <w:rPr>
          <w:b w:val="0"/>
          <w:sz w:val="24"/>
          <w:szCs w:val="24"/>
        </w:rPr>
      </w:pPr>
      <w:r w:rsidRPr="00766286">
        <w:rPr>
          <w:b w:val="0"/>
        </w:rPr>
        <w:t xml:space="preserve">   </w:t>
      </w:r>
      <w:r w:rsidR="00F60D2B">
        <w:rPr>
          <w:b w:val="0"/>
          <w:sz w:val="24"/>
          <w:szCs w:val="24"/>
        </w:rPr>
        <w:t>с</w:t>
      </w:r>
      <w:r w:rsidR="009023BD" w:rsidRPr="00766286">
        <w:rPr>
          <w:b w:val="0"/>
          <w:sz w:val="24"/>
          <w:szCs w:val="24"/>
        </w:rPr>
        <w:t xml:space="preserve"> НДС, тыс. руб.</w:t>
      </w:r>
    </w:p>
    <w:tbl>
      <w:tblPr>
        <w:tblW w:w="15697" w:type="dxa"/>
        <w:tblInd w:w="-176" w:type="dxa"/>
        <w:tblLayout w:type="fixed"/>
        <w:tblLook w:val="04A0" w:firstRow="1" w:lastRow="0" w:firstColumn="1" w:lastColumn="0" w:noHBand="0" w:noVBand="1"/>
      </w:tblPr>
      <w:tblGrid>
        <w:gridCol w:w="517"/>
        <w:gridCol w:w="6095"/>
        <w:gridCol w:w="825"/>
        <w:gridCol w:w="656"/>
        <w:gridCol w:w="736"/>
        <w:gridCol w:w="753"/>
        <w:gridCol w:w="709"/>
        <w:gridCol w:w="709"/>
        <w:gridCol w:w="824"/>
        <w:gridCol w:w="761"/>
        <w:gridCol w:w="566"/>
        <w:gridCol w:w="802"/>
        <w:gridCol w:w="899"/>
        <w:gridCol w:w="845"/>
      </w:tblGrid>
      <w:tr w:rsidR="001F734E" w:rsidRPr="00766286" w:rsidTr="00766286">
        <w:trPr>
          <w:trHeight w:val="284"/>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 п/п</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Наименование мероприятия</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 xml:space="preserve">Объем </w:t>
            </w:r>
            <w:proofErr w:type="spellStart"/>
            <w:r w:rsidRPr="001F734E">
              <w:rPr>
                <w:color w:val="000000"/>
                <w:sz w:val="16"/>
                <w:szCs w:val="16"/>
              </w:rPr>
              <w:t>финан</w:t>
            </w:r>
            <w:proofErr w:type="spellEnd"/>
            <w:r w:rsidRPr="001F734E">
              <w:rPr>
                <w:color w:val="000000"/>
                <w:sz w:val="16"/>
                <w:szCs w:val="16"/>
              </w:rPr>
              <w:t>-сиро-</w:t>
            </w:r>
            <w:proofErr w:type="spellStart"/>
            <w:r w:rsidRPr="001F734E">
              <w:rPr>
                <w:color w:val="000000"/>
                <w:sz w:val="16"/>
                <w:szCs w:val="16"/>
              </w:rPr>
              <w:t>вания</w:t>
            </w:r>
            <w:proofErr w:type="spellEnd"/>
          </w:p>
        </w:tc>
        <w:tc>
          <w:tcPr>
            <w:tcW w:w="3563"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Потребность в финансировании по годам</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 xml:space="preserve">Срок </w:t>
            </w:r>
            <w:proofErr w:type="spellStart"/>
            <w:proofErr w:type="gramStart"/>
            <w:r w:rsidRPr="001F734E">
              <w:rPr>
                <w:color w:val="000000"/>
                <w:sz w:val="16"/>
                <w:szCs w:val="16"/>
              </w:rPr>
              <w:t>реализа-ции</w:t>
            </w:r>
            <w:proofErr w:type="spellEnd"/>
            <w:proofErr w:type="gramEnd"/>
            <w:r w:rsidRPr="001F734E">
              <w:rPr>
                <w:color w:val="000000"/>
                <w:sz w:val="16"/>
                <w:szCs w:val="16"/>
              </w:rPr>
              <w:t>, год</w:t>
            </w:r>
          </w:p>
        </w:tc>
        <w:tc>
          <w:tcPr>
            <w:tcW w:w="3873"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Источники финансирования</w:t>
            </w:r>
          </w:p>
        </w:tc>
      </w:tr>
      <w:tr w:rsidR="001F734E" w:rsidRPr="00766286" w:rsidTr="00766286">
        <w:trPr>
          <w:trHeight w:val="284"/>
        </w:trPr>
        <w:tc>
          <w:tcPr>
            <w:tcW w:w="51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F734E" w:rsidRPr="001F734E" w:rsidRDefault="001F734E" w:rsidP="001F734E">
            <w:pPr>
              <w:rPr>
                <w:color w:val="000000"/>
                <w:sz w:val="16"/>
                <w:szCs w:val="16"/>
              </w:rPr>
            </w:pPr>
          </w:p>
        </w:tc>
        <w:tc>
          <w:tcPr>
            <w:tcW w:w="609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F734E" w:rsidRPr="001F734E" w:rsidRDefault="001F734E" w:rsidP="001F734E">
            <w:pPr>
              <w:rPr>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F734E" w:rsidRPr="001F734E" w:rsidRDefault="001F734E" w:rsidP="001F734E">
            <w:pPr>
              <w:rPr>
                <w:color w:val="000000"/>
                <w:sz w:val="16"/>
                <w:szCs w:val="16"/>
              </w:rPr>
            </w:pP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2019</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2020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2021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2022</w:t>
            </w:r>
          </w:p>
        </w:tc>
        <w:tc>
          <w:tcPr>
            <w:tcW w:w="82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F734E" w:rsidRPr="001F734E" w:rsidRDefault="001F734E" w:rsidP="001F734E">
            <w:pPr>
              <w:rPr>
                <w:color w:val="000000"/>
                <w:sz w:val="16"/>
                <w:szCs w:val="16"/>
              </w:rPr>
            </w:pP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Бюджет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ПДК</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proofErr w:type="spellStart"/>
            <w:proofErr w:type="gramStart"/>
            <w:r w:rsidRPr="001F734E">
              <w:rPr>
                <w:color w:val="000000"/>
                <w:sz w:val="16"/>
                <w:szCs w:val="16"/>
              </w:rPr>
              <w:t>Аморти-зация</w:t>
            </w:r>
            <w:proofErr w:type="spellEnd"/>
            <w:proofErr w:type="gramEnd"/>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766286">
            <w:pPr>
              <w:jc w:val="center"/>
              <w:rPr>
                <w:color w:val="000000"/>
                <w:sz w:val="16"/>
                <w:szCs w:val="16"/>
              </w:rPr>
            </w:pPr>
            <w:r w:rsidRPr="001F734E">
              <w:rPr>
                <w:color w:val="000000"/>
                <w:sz w:val="16"/>
                <w:szCs w:val="16"/>
              </w:rPr>
              <w:t>Иные источники</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Прибыль</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4</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8</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9</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11</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12</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13</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14</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Мероприятия инвестиционной программы, реализуемые в сфере водоотведения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6 635,50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2 414,50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1 221,00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1 100,00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1 700,00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3 334,89</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3 300,61</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1.1</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1.2</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 xml:space="preserve">Реконструкция объектов централизованных </w:t>
            </w:r>
            <w:r w:rsidR="00766286" w:rsidRPr="00766286">
              <w:rPr>
                <w:color w:val="000000"/>
                <w:sz w:val="16"/>
                <w:szCs w:val="16"/>
              </w:rPr>
              <w:t>систем водоотведения в</w:t>
            </w:r>
            <w:r w:rsidRPr="001F734E">
              <w:rPr>
                <w:color w:val="000000"/>
                <w:sz w:val="16"/>
                <w:szCs w:val="16"/>
              </w:rPr>
              <w:t xml:space="preserve"> целях подключения объектов капитального строительства абонентов</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1.3</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 xml:space="preserve">Строительство новых объектов централизованных систем водоотведения, не связанных с подключением новых </w:t>
            </w:r>
            <w:r w:rsidR="00766286" w:rsidRPr="00766286">
              <w:rPr>
                <w:color w:val="000000"/>
                <w:sz w:val="16"/>
                <w:szCs w:val="16"/>
              </w:rPr>
              <w:t>объектов</w:t>
            </w:r>
            <w:r w:rsidRPr="001F734E">
              <w:rPr>
                <w:color w:val="000000"/>
                <w:sz w:val="16"/>
                <w:szCs w:val="16"/>
              </w:rPr>
              <w:t xml:space="preserve"> капитального строительства абонентов</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1.4</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Реконструкция существующих объектов централизованных систем водоотведения в целях снижения уровня износа существующих объектов</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 xml:space="preserve">Мероприятия, </w:t>
            </w:r>
            <w:r w:rsidR="00766286" w:rsidRPr="00766286">
              <w:rPr>
                <w:color w:val="000000"/>
                <w:sz w:val="16"/>
                <w:szCs w:val="16"/>
              </w:rPr>
              <w:t>направленные на</w:t>
            </w:r>
            <w:r w:rsidRPr="001F734E">
              <w:rPr>
                <w:color w:val="000000"/>
                <w:sz w:val="16"/>
                <w:szCs w:val="16"/>
              </w:rPr>
              <w:t xml:space="preserve">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6 635,50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2 414,50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1 221,00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1 100,00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1 700,00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3 334,89</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3 300,61</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1.5.1</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 xml:space="preserve">Проектные работы по строительству котельной на собственные </w:t>
            </w:r>
            <w:r w:rsidR="00766286" w:rsidRPr="00766286">
              <w:rPr>
                <w:color w:val="000000"/>
                <w:sz w:val="16"/>
                <w:szCs w:val="16"/>
              </w:rPr>
              <w:t>нужды, производительностью 1,0 Гкал</w:t>
            </w:r>
            <w:r w:rsidRPr="001F734E">
              <w:rPr>
                <w:color w:val="000000"/>
                <w:sz w:val="16"/>
                <w:szCs w:val="16"/>
              </w:rPr>
              <w:t>/час</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703,00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553,00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2018-2019</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553,00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1.5.2</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Проектирование по устройству теплотрассы- Проектная документация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215,36</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165,36</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2018-2019</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215,36</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1.5.3</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Монтаж здания котельной, Установка котла «</w:t>
            </w:r>
            <w:proofErr w:type="spellStart"/>
            <w:r w:rsidRPr="001F734E">
              <w:rPr>
                <w:color w:val="000000"/>
                <w:sz w:val="16"/>
                <w:szCs w:val="16"/>
              </w:rPr>
              <w:t>Теплотрон</w:t>
            </w:r>
            <w:proofErr w:type="spellEnd"/>
            <w:r w:rsidRPr="001F734E">
              <w:rPr>
                <w:color w:val="000000"/>
                <w:sz w:val="16"/>
                <w:szCs w:val="16"/>
              </w:rPr>
              <w:t>» К-300, Монтаж оборудования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1 237,53</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1 237,53</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2019</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1 237,53</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1.5.4</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Устройство теплотрассы</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2 000,51</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458,61</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1 221,00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320,89</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2019-2021</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302,79</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1 697,72</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1.5.5</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proofErr w:type="spellStart"/>
            <w:r w:rsidRPr="001F734E">
              <w:rPr>
                <w:color w:val="000000"/>
                <w:sz w:val="16"/>
                <w:szCs w:val="16"/>
              </w:rPr>
              <w:t>Воздухотурбонагнетатель</w:t>
            </w:r>
            <w:proofErr w:type="spellEnd"/>
            <w:r w:rsidRPr="001F734E">
              <w:rPr>
                <w:color w:val="000000"/>
                <w:sz w:val="16"/>
                <w:szCs w:val="16"/>
              </w:rPr>
              <w:t xml:space="preserve"> ТВ-80 - Модернизация воздухонагнетателя-2 шт.</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2 479,10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779,11</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1 700,00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2021-2022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2 479,10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Итого, в том числе</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6 635,50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2 414,50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1 221,00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1 100,00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1 700,00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Бюджетные средства</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4</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Прибыль, учтенная в тарифе</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3 300,61</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2 374,50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577,37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49,37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99,37</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2018-2022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5</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ПДК</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Амортизация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3 334,89</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40,00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643,63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1 050,63</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1 600,63</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2019-2022</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r w:rsidR="001F734E" w:rsidRPr="00766286" w:rsidTr="00766286">
        <w:trPr>
          <w:trHeight w:val="284"/>
        </w:trPr>
        <w:tc>
          <w:tcPr>
            <w:tcW w:w="51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7</w:t>
            </w:r>
          </w:p>
        </w:tc>
        <w:tc>
          <w:tcPr>
            <w:tcW w:w="609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rPr>
                <w:color w:val="000000"/>
                <w:sz w:val="16"/>
                <w:szCs w:val="16"/>
              </w:rPr>
            </w:pPr>
            <w:r w:rsidRPr="001F734E">
              <w:rPr>
                <w:color w:val="000000"/>
                <w:sz w:val="16"/>
                <w:szCs w:val="16"/>
              </w:rPr>
              <w:t>Иные источники финансирования</w:t>
            </w:r>
          </w:p>
        </w:tc>
        <w:tc>
          <w:tcPr>
            <w:tcW w:w="82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65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3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5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2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w:t>
            </w:r>
          </w:p>
        </w:tc>
        <w:tc>
          <w:tcPr>
            <w:tcW w:w="76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9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c>
          <w:tcPr>
            <w:tcW w:w="8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F734E" w:rsidRPr="001F734E" w:rsidRDefault="001F734E" w:rsidP="001F734E">
            <w:pPr>
              <w:jc w:val="center"/>
              <w:rPr>
                <w:color w:val="000000"/>
                <w:sz w:val="16"/>
                <w:szCs w:val="16"/>
              </w:rPr>
            </w:pPr>
            <w:r w:rsidRPr="001F734E">
              <w:rPr>
                <w:color w:val="000000"/>
                <w:sz w:val="16"/>
                <w:szCs w:val="16"/>
              </w:rPr>
              <w:t>0,00</w:t>
            </w:r>
          </w:p>
        </w:tc>
      </w:tr>
    </w:tbl>
    <w:p w:rsidR="001F734E" w:rsidRPr="00766286" w:rsidRDefault="001F734E" w:rsidP="009023BD">
      <w:pPr>
        <w:pStyle w:val="ConsPlusNormal"/>
        <w:jc w:val="right"/>
        <w:rPr>
          <w:b w:val="0"/>
          <w:sz w:val="24"/>
          <w:szCs w:val="24"/>
        </w:rPr>
      </w:pPr>
    </w:p>
    <w:p w:rsidR="009023BD" w:rsidRPr="00766286" w:rsidRDefault="009023BD" w:rsidP="009023BD">
      <w:pPr>
        <w:autoSpaceDE w:val="0"/>
        <w:autoSpaceDN w:val="0"/>
        <w:adjustRightInd w:val="0"/>
        <w:ind w:firstLine="540"/>
        <w:jc w:val="both"/>
      </w:pPr>
    </w:p>
    <w:p w:rsidR="00A52AF8" w:rsidRPr="00766286" w:rsidRDefault="00440BFF" w:rsidP="00A52AF8">
      <w:pPr>
        <w:autoSpaceDE w:val="0"/>
        <w:autoSpaceDN w:val="0"/>
        <w:adjustRightInd w:val="0"/>
        <w:jc w:val="center"/>
        <w:outlineLvl w:val="0"/>
        <w:rPr>
          <w:b/>
          <w:sz w:val="28"/>
          <w:szCs w:val="28"/>
        </w:rPr>
      </w:pPr>
      <w:r w:rsidRPr="00766286">
        <w:br w:type="page"/>
      </w:r>
      <w:bookmarkStart w:id="3" w:name="_Hlk495584485"/>
      <w:r w:rsidR="00A52AF8" w:rsidRPr="00766286">
        <w:rPr>
          <w:b/>
          <w:sz w:val="28"/>
          <w:szCs w:val="28"/>
        </w:rPr>
        <w:lastRenderedPageBreak/>
        <w:t xml:space="preserve">Плановый и фактический процент износа объектов централизованной системы водоотведения </w:t>
      </w:r>
    </w:p>
    <w:p w:rsidR="00A52AF8" w:rsidRDefault="00A52AF8" w:rsidP="00A52AF8">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F60D2B" w:rsidRPr="00EE0E71" w:rsidTr="008479EC">
        <w:trPr>
          <w:trHeight w:val="612"/>
        </w:trPr>
        <w:tc>
          <w:tcPr>
            <w:tcW w:w="8789" w:type="dxa"/>
            <w:vMerge w:val="restart"/>
            <w:shd w:val="clear" w:color="auto" w:fill="auto"/>
            <w:vAlign w:val="center"/>
            <w:hideMark/>
          </w:tcPr>
          <w:p w:rsidR="00F60D2B" w:rsidRPr="00EE0E71" w:rsidRDefault="00F60D2B" w:rsidP="008479EC">
            <w:pPr>
              <w:jc w:val="center"/>
              <w:rPr>
                <w:color w:val="2D2D2D"/>
                <w:sz w:val="28"/>
              </w:rPr>
            </w:pPr>
            <w:r w:rsidRPr="00EE0E71">
              <w:rPr>
                <w:color w:val="2D2D2D"/>
                <w:sz w:val="28"/>
              </w:rPr>
              <w:t>Наименование показателя</w:t>
            </w:r>
          </w:p>
        </w:tc>
        <w:tc>
          <w:tcPr>
            <w:tcW w:w="1300" w:type="dxa"/>
            <w:vMerge w:val="restart"/>
            <w:shd w:val="clear" w:color="auto" w:fill="auto"/>
            <w:vAlign w:val="center"/>
            <w:hideMark/>
          </w:tcPr>
          <w:p w:rsidR="00F60D2B" w:rsidRPr="00EE0E71" w:rsidRDefault="00F60D2B" w:rsidP="008479EC">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F60D2B" w:rsidRPr="00EE0E71" w:rsidRDefault="00F60D2B" w:rsidP="008479EC">
            <w:pPr>
              <w:jc w:val="center"/>
              <w:rPr>
                <w:color w:val="000000"/>
                <w:sz w:val="28"/>
                <w:szCs w:val="22"/>
              </w:rPr>
            </w:pPr>
            <w:r w:rsidRPr="00EE0E71">
              <w:rPr>
                <w:color w:val="000000"/>
                <w:sz w:val="28"/>
                <w:szCs w:val="22"/>
              </w:rPr>
              <w:t>Значение по годам</w:t>
            </w:r>
          </w:p>
        </w:tc>
      </w:tr>
      <w:tr w:rsidR="00F60D2B" w:rsidRPr="00EE0E71" w:rsidTr="008479EC">
        <w:trPr>
          <w:trHeight w:val="620"/>
        </w:trPr>
        <w:tc>
          <w:tcPr>
            <w:tcW w:w="8789" w:type="dxa"/>
            <w:vMerge/>
            <w:shd w:val="clear" w:color="auto" w:fill="auto"/>
            <w:vAlign w:val="center"/>
          </w:tcPr>
          <w:p w:rsidR="00F60D2B" w:rsidRPr="00EE0E71" w:rsidRDefault="00F60D2B" w:rsidP="008479EC">
            <w:pPr>
              <w:jc w:val="center"/>
              <w:rPr>
                <w:color w:val="2D2D2D"/>
                <w:sz w:val="28"/>
              </w:rPr>
            </w:pPr>
          </w:p>
        </w:tc>
        <w:tc>
          <w:tcPr>
            <w:tcW w:w="1300" w:type="dxa"/>
            <w:vMerge/>
            <w:shd w:val="clear" w:color="auto" w:fill="auto"/>
            <w:vAlign w:val="center"/>
          </w:tcPr>
          <w:p w:rsidR="00F60D2B" w:rsidRPr="00EE0E71" w:rsidRDefault="00F60D2B" w:rsidP="008479EC">
            <w:pPr>
              <w:jc w:val="center"/>
              <w:rPr>
                <w:color w:val="2D2D2D"/>
                <w:sz w:val="28"/>
              </w:rPr>
            </w:pPr>
          </w:p>
        </w:tc>
        <w:tc>
          <w:tcPr>
            <w:tcW w:w="940" w:type="dxa"/>
            <w:shd w:val="clear" w:color="auto" w:fill="auto"/>
            <w:vAlign w:val="center"/>
          </w:tcPr>
          <w:p w:rsidR="00F60D2B" w:rsidRPr="00EE0E71" w:rsidRDefault="00F60D2B" w:rsidP="008479EC">
            <w:pPr>
              <w:jc w:val="center"/>
              <w:rPr>
                <w:color w:val="000000"/>
                <w:sz w:val="28"/>
                <w:szCs w:val="22"/>
              </w:rPr>
            </w:pPr>
            <w:r w:rsidRPr="00EE0E71">
              <w:rPr>
                <w:color w:val="000000"/>
                <w:sz w:val="28"/>
                <w:szCs w:val="22"/>
              </w:rPr>
              <w:t>2018</w:t>
            </w:r>
          </w:p>
        </w:tc>
        <w:tc>
          <w:tcPr>
            <w:tcW w:w="940" w:type="dxa"/>
            <w:shd w:val="clear" w:color="auto" w:fill="auto"/>
            <w:noWrap/>
            <w:vAlign w:val="center"/>
          </w:tcPr>
          <w:p w:rsidR="00F60D2B" w:rsidRPr="00EE0E71" w:rsidRDefault="00F60D2B" w:rsidP="008479EC">
            <w:pPr>
              <w:jc w:val="center"/>
              <w:rPr>
                <w:color w:val="000000"/>
                <w:sz w:val="28"/>
                <w:szCs w:val="22"/>
              </w:rPr>
            </w:pPr>
            <w:r w:rsidRPr="00EE0E71">
              <w:rPr>
                <w:color w:val="000000"/>
                <w:sz w:val="28"/>
                <w:szCs w:val="22"/>
              </w:rPr>
              <w:t>2019</w:t>
            </w:r>
          </w:p>
        </w:tc>
        <w:tc>
          <w:tcPr>
            <w:tcW w:w="940" w:type="dxa"/>
            <w:shd w:val="clear" w:color="auto" w:fill="auto"/>
            <w:noWrap/>
            <w:vAlign w:val="center"/>
          </w:tcPr>
          <w:p w:rsidR="00F60D2B" w:rsidRPr="00EE0E71" w:rsidRDefault="00F60D2B" w:rsidP="008479EC">
            <w:pPr>
              <w:jc w:val="center"/>
              <w:rPr>
                <w:color w:val="000000"/>
                <w:sz w:val="28"/>
                <w:szCs w:val="22"/>
              </w:rPr>
            </w:pPr>
            <w:r w:rsidRPr="00EE0E71">
              <w:rPr>
                <w:color w:val="000000"/>
                <w:sz w:val="28"/>
                <w:szCs w:val="22"/>
              </w:rPr>
              <w:t>2020</w:t>
            </w:r>
          </w:p>
        </w:tc>
        <w:tc>
          <w:tcPr>
            <w:tcW w:w="940" w:type="dxa"/>
            <w:shd w:val="clear" w:color="auto" w:fill="auto"/>
            <w:noWrap/>
            <w:vAlign w:val="center"/>
          </w:tcPr>
          <w:p w:rsidR="00F60D2B" w:rsidRPr="00EE0E71" w:rsidRDefault="00F60D2B" w:rsidP="008479EC">
            <w:pPr>
              <w:jc w:val="center"/>
              <w:rPr>
                <w:color w:val="000000"/>
                <w:sz w:val="28"/>
                <w:szCs w:val="22"/>
              </w:rPr>
            </w:pPr>
            <w:r w:rsidRPr="00EE0E71">
              <w:rPr>
                <w:color w:val="000000"/>
                <w:sz w:val="28"/>
                <w:szCs w:val="22"/>
              </w:rPr>
              <w:t>2021</w:t>
            </w:r>
          </w:p>
        </w:tc>
        <w:tc>
          <w:tcPr>
            <w:tcW w:w="960" w:type="dxa"/>
            <w:shd w:val="clear" w:color="auto" w:fill="auto"/>
            <w:noWrap/>
            <w:vAlign w:val="center"/>
          </w:tcPr>
          <w:p w:rsidR="00F60D2B" w:rsidRPr="00EE0E71" w:rsidRDefault="00F60D2B" w:rsidP="008479EC">
            <w:pPr>
              <w:jc w:val="center"/>
              <w:rPr>
                <w:color w:val="000000"/>
                <w:sz w:val="28"/>
                <w:szCs w:val="22"/>
              </w:rPr>
            </w:pPr>
            <w:r w:rsidRPr="00EE0E71">
              <w:rPr>
                <w:color w:val="000000"/>
                <w:sz w:val="28"/>
                <w:szCs w:val="22"/>
              </w:rPr>
              <w:t>2022</w:t>
            </w:r>
          </w:p>
        </w:tc>
      </w:tr>
      <w:tr w:rsidR="00F60D2B" w:rsidRPr="00EE0E71" w:rsidTr="008479EC">
        <w:trPr>
          <w:trHeight w:val="300"/>
        </w:trPr>
        <w:tc>
          <w:tcPr>
            <w:tcW w:w="8789" w:type="dxa"/>
            <w:shd w:val="clear" w:color="auto" w:fill="auto"/>
            <w:vAlign w:val="center"/>
            <w:hideMark/>
          </w:tcPr>
          <w:p w:rsidR="00F60D2B" w:rsidRPr="00EE0E71" w:rsidRDefault="00F60D2B" w:rsidP="008479EC">
            <w:pPr>
              <w:jc w:val="center"/>
              <w:rPr>
                <w:color w:val="2D2D2D"/>
                <w:sz w:val="28"/>
              </w:rPr>
            </w:pPr>
            <w:r w:rsidRPr="00EE0E71">
              <w:rPr>
                <w:color w:val="2D2D2D"/>
                <w:sz w:val="28"/>
              </w:rPr>
              <w:t>1</w:t>
            </w:r>
          </w:p>
        </w:tc>
        <w:tc>
          <w:tcPr>
            <w:tcW w:w="1300" w:type="dxa"/>
            <w:shd w:val="clear" w:color="auto" w:fill="auto"/>
            <w:vAlign w:val="center"/>
            <w:hideMark/>
          </w:tcPr>
          <w:p w:rsidR="00F60D2B" w:rsidRPr="00EE0E71" w:rsidRDefault="00F60D2B" w:rsidP="008479EC">
            <w:pPr>
              <w:jc w:val="center"/>
              <w:rPr>
                <w:color w:val="2D2D2D"/>
                <w:sz w:val="28"/>
              </w:rPr>
            </w:pPr>
            <w:r w:rsidRPr="00EE0E71">
              <w:rPr>
                <w:color w:val="2D2D2D"/>
                <w:sz w:val="28"/>
              </w:rPr>
              <w:t>2</w:t>
            </w:r>
          </w:p>
        </w:tc>
        <w:tc>
          <w:tcPr>
            <w:tcW w:w="940" w:type="dxa"/>
            <w:shd w:val="clear" w:color="auto" w:fill="auto"/>
            <w:noWrap/>
            <w:vAlign w:val="center"/>
            <w:hideMark/>
          </w:tcPr>
          <w:p w:rsidR="00F60D2B" w:rsidRPr="00EE0E71" w:rsidRDefault="00F60D2B" w:rsidP="008479EC">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F60D2B" w:rsidRPr="00EE0E71" w:rsidRDefault="00F60D2B" w:rsidP="008479EC">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F60D2B" w:rsidRPr="00EE0E71" w:rsidRDefault="00F60D2B" w:rsidP="008479EC">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F60D2B" w:rsidRPr="00EE0E71" w:rsidRDefault="00F60D2B" w:rsidP="008479EC">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F60D2B" w:rsidRPr="00EE0E71" w:rsidRDefault="00F60D2B" w:rsidP="008479EC">
            <w:pPr>
              <w:jc w:val="center"/>
              <w:rPr>
                <w:color w:val="000000"/>
                <w:sz w:val="28"/>
                <w:szCs w:val="22"/>
              </w:rPr>
            </w:pPr>
            <w:r w:rsidRPr="00EE0E71">
              <w:rPr>
                <w:color w:val="000000"/>
                <w:sz w:val="28"/>
                <w:szCs w:val="22"/>
              </w:rPr>
              <w:t>8</w:t>
            </w:r>
          </w:p>
        </w:tc>
      </w:tr>
      <w:tr w:rsidR="00F60D2B" w:rsidRPr="00EE0E71" w:rsidTr="008479EC">
        <w:trPr>
          <w:trHeight w:val="525"/>
        </w:trPr>
        <w:tc>
          <w:tcPr>
            <w:tcW w:w="8789" w:type="dxa"/>
            <w:shd w:val="clear" w:color="auto" w:fill="auto"/>
            <w:vAlign w:val="center"/>
            <w:hideMark/>
          </w:tcPr>
          <w:p w:rsidR="00F60D2B" w:rsidRPr="00EE0E71" w:rsidRDefault="00F60D2B" w:rsidP="008479EC">
            <w:pPr>
              <w:rPr>
                <w:color w:val="2D2D2D"/>
                <w:sz w:val="28"/>
              </w:rPr>
            </w:pPr>
            <w:r w:rsidRPr="00EE0E71">
              <w:rPr>
                <w:color w:val="2D2D2D"/>
                <w:sz w:val="28"/>
              </w:rPr>
              <w:t>Износ объектов централизованной системы водоотведения</w:t>
            </w:r>
          </w:p>
        </w:tc>
        <w:tc>
          <w:tcPr>
            <w:tcW w:w="1300" w:type="dxa"/>
            <w:shd w:val="clear" w:color="auto" w:fill="auto"/>
            <w:vAlign w:val="center"/>
            <w:hideMark/>
          </w:tcPr>
          <w:p w:rsidR="00F60D2B" w:rsidRPr="00EE0E71" w:rsidRDefault="00F60D2B" w:rsidP="008479EC">
            <w:pPr>
              <w:jc w:val="center"/>
              <w:rPr>
                <w:sz w:val="28"/>
              </w:rPr>
            </w:pPr>
            <w:r w:rsidRPr="00EE0E71">
              <w:rPr>
                <w:sz w:val="28"/>
              </w:rPr>
              <w:t>%</w:t>
            </w:r>
          </w:p>
        </w:tc>
        <w:tc>
          <w:tcPr>
            <w:tcW w:w="940" w:type="dxa"/>
            <w:shd w:val="clear" w:color="auto" w:fill="auto"/>
            <w:noWrap/>
            <w:vAlign w:val="center"/>
          </w:tcPr>
          <w:p w:rsidR="00F60D2B" w:rsidRPr="00EE0E71" w:rsidRDefault="00F60D2B" w:rsidP="008479EC">
            <w:pPr>
              <w:jc w:val="center"/>
              <w:rPr>
                <w:sz w:val="28"/>
                <w:szCs w:val="22"/>
              </w:rPr>
            </w:pPr>
            <w:r>
              <w:rPr>
                <w:sz w:val="28"/>
                <w:szCs w:val="22"/>
              </w:rPr>
              <w:t>46</w:t>
            </w:r>
          </w:p>
        </w:tc>
        <w:tc>
          <w:tcPr>
            <w:tcW w:w="940" w:type="dxa"/>
            <w:shd w:val="clear" w:color="auto" w:fill="auto"/>
            <w:noWrap/>
            <w:vAlign w:val="center"/>
          </w:tcPr>
          <w:p w:rsidR="00F60D2B" w:rsidRPr="00EE0E71" w:rsidRDefault="00F60D2B" w:rsidP="008479EC">
            <w:pPr>
              <w:jc w:val="center"/>
              <w:rPr>
                <w:sz w:val="28"/>
                <w:szCs w:val="22"/>
              </w:rPr>
            </w:pPr>
            <w:r>
              <w:rPr>
                <w:sz w:val="28"/>
                <w:szCs w:val="22"/>
              </w:rPr>
              <w:t>49</w:t>
            </w:r>
          </w:p>
        </w:tc>
        <w:tc>
          <w:tcPr>
            <w:tcW w:w="940" w:type="dxa"/>
            <w:shd w:val="clear" w:color="auto" w:fill="auto"/>
            <w:noWrap/>
            <w:vAlign w:val="center"/>
          </w:tcPr>
          <w:p w:rsidR="00F60D2B" w:rsidRPr="00EE0E71" w:rsidRDefault="00F60D2B" w:rsidP="008479EC">
            <w:pPr>
              <w:jc w:val="center"/>
              <w:rPr>
                <w:sz w:val="28"/>
                <w:szCs w:val="22"/>
              </w:rPr>
            </w:pPr>
            <w:r>
              <w:rPr>
                <w:sz w:val="28"/>
                <w:szCs w:val="22"/>
              </w:rPr>
              <w:t>43</w:t>
            </w:r>
          </w:p>
        </w:tc>
        <w:tc>
          <w:tcPr>
            <w:tcW w:w="940" w:type="dxa"/>
            <w:shd w:val="clear" w:color="auto" w:fill="auto"/>
            <w:noWrap/>
            <w:vAlign w:val="center"/>
          </w:tcPr>
          <w:p w:rsidR="00F60D2B" w:rsidRPr="00EE0E71" w:rsidRDefault="00F60D2B" w:rsidP="008479EC">
            <w:pPr>
              <w:jc w:val="center"/>
              <w:rPr>
                <w:sz w:val="28"/>
                <w:szCs w:val="22"/>
              </w:rPr>
            </w:pPr>
            <w:r>
              <w:rPr>
                <w:sz w:val="28"/>
                <w:szCs w:val="22"/>
              </w:rPr>
              <w:t>46</w:t>
            </w:r>
          </w:p>
        </w:tc>
        <w:tc>
          <w:tcPr>
            <w:tcW w:w="960" w:type="dxa"/>
            <w:shd w:val="clear" w:color="auto" w:fill="auto"/>
            <w:noWrap/>
            <w:vAlign w:val="center"/>
          </w:tcPr>
          <w:p w:rsidR="00F60D2B" w:rsidRPr="00EE0E71" w:rsidRDefault="00F60D2B" w:rsidP="008479EC">
            <w:pPr>
              <w:jc w:val="center"/>
              <w:rPr>
                <w:sz w:val="28"/>
                <w:szCs w:val="22"/>
              </w:rPr>
            </w:pPr>
            <w:r>
              <w:rPr>
                <w:sz w:val="28"/>
                <w:szCs w:val="22"/>
              </w:rPr>
              <w:t>43</w:t>
            </w:r>
          </w:p>
        </w:tc>
      </w:tr>
    </w:tbl>
    <w:p w:rsidR="00F60D2B" w:rsidRPr="00766286" w:rsidRDefault="00F60D2B" w:rsidP="00A52AF8">
      <w:pPr>
        <w:autoSpaceDE w:val="0"/>
        <w:autoSpaceDN w:val="0"/>
        <w:adjustRightInd w:val="0"/>
        <w:jc w:val="center"/>
        <w:outlineLvl w:val="0"/>
        <w:rPr>
          <w:sz w:val="28"/>
          <w:szCs w:val="28"/>
        </w:rPr>
      </w:pPr>
    </w:p>
    <w:p w:rsidR="005632B0" w:rsidRPr="00766286" w:rsidRDefault="005632B0" w:rsidP="004E789C">
      <w:pPr>
        <w:autoSpaceDE w:val="0"/>
        <w:autoSpaceDN w:val="0"/>
        <w:adjustRightInd w:val="0"/>
        <w:jc w:val="center"/>
        <w:outlineLvl w:val="0"/>
        <w:rPr>
          <w:sz w:val="28"/>
          <w:szCs w:val="28"/>
        </w:rPr>
      </w:pPr>
    </w:p>
    <w:p w:rsidR="005632B0" w:rsidRPr="00766286" w:rsidRDefault="005632B0" w:rsidP="004E789C">
      <w:pPr>
        <w:autoSpaceDE w:val="0"/>
        <w:autoSpaceDN w:val="0"/>
        <w:adjustRightInd w:val="0"/>
        <w:jc w:val="center"/>
        <w:outlineLvl w:val="0"/>
        <w:rPr>
          <w:sz w:val="28"/>
          <w:szCs w:val="28"/>
        </w:rPr>
      </w:pPr>
    </w:p>
    <w:p w:rsidR="00C40361" w:rsidRPr="00766286" w:rsidRDefault="00C40361"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bookmarkEnd w:id="3"/>
    <w:p w:rsidR="009023BD" w:rsidRPr="00766286" w:rsidRDefault="009023BD" w:rsidP="00C40361">
      <w:pPr>
        <w:autoSpaceDE w:val="0"/>
        <w:autoSpaceDN w:val="0"/>
        <w:adjustRightInd w:val="0"/>
        <w:outlineLvl w:val="0"/>
        <w:rPr>
          <w:sz w:val="28"/>
          <w:szCs w:val="28"/>
        </w:rPr>
      </w:pPr>
    </w:p>
    <w:p w:rsidR="009023BD" w:rsidRPr="00766286" w:rsidRDefault="00CB1196" w:rsidP="00CB1196">
      <w:pPr>
        <w:autoSpaceDE w:val="0"/>
        <w:autoSpaceDN w:val="0"/>
        <w:adjustRightInd w:val="0"/>
        <w:outlineLvl w:val="0"/>
        <w:rPr>
          <w:sz w:val="28"/>
          <w:szCs w:val="28"/>
        </w:rPr>
      </w:pPr>
      <w:r w:rsidRPr="00766286">
        <w:rPr>
          <w:sz w:val="28"/>
          <w:szCs w:val="28"/>
        </w:rPr>
        <w:t xml:space="preserve"> </w:t>
      </w:r>
    </w:p>
    <w:p w:rsidR="009023BD" w:rsidRPr="00766286" w:rsidRDefault="009023BD" w:rsidP="009023BD">
      <w:pPr>
        <w:autoSpaceDE w:val="0"/>
        <w:autoSpaceDN w:val="0"/>
        <w:adjustRightInd w:val="0"/>
        <w:jc w:val="center"/>
        <w:outlineLvl w:val="0"/>
        <w:rPr>
          <w:sz w:val="28"/>
          <w:szCs w:val="28"/>
        </w:rPr>
      </w:pPr>
    </w:p>
    <w:p w:rsidR="00E15981" w:rsidRPr="00766286" w:rsidRDefault="009023BD" w:rsidP="00E15981">
      <w:pPr>
        <w:autoSpaceDE w:val="0"/>
        <w:autoSpaceDN w:val="0"/>
        <w:adjustRightInd w:val="0"/>
        <w:jc w:val="center"/>
        <w:outlineLvl w:val="0"/>
        <w:rPr>
          <w:b/>
          <w:sz w:val="28"/>
          <w:szCs w:val="28"/>
        </w:rPr>
      </w:pPr>
      <w:r w:rsidRPr="00766286">
        <w:rPr>
          <w:sz w:val="28"/>
          <w:szCs w:val="28"/>
        </w:rPr>
        <w:br w:type="page"/>
      </w:r>
      <w:bookmarkStart w:id="4" w:name="_Hlk495585601"/>
      <w:r w:rsidR="00E15981" w:rsidRPr="00766286">
        <w:rPr>
          <w:b/>
          <w:sz w:val="28"/>
          <w:szCs w:val="28"/>
        </w:rPr>
        <w:lastRenderedPageBreak/>
        <w:t xml:space="preserve">Предварительный расчет тарифа в сфере </w:t>
      </w:r>
      <w:r w:rsidR="00D96A2B" w:rsidRPr="00766286">
        <w:rPr>
          <w:b/>
          <w:sz w:val="28"/>
          <w:szCs w:val="28"/>
        </w:rPr>
        <w:t>водоотведения</w:t>
      </w:r>
      <w:r w:rsidR="00E15981" w:rsidRPr="00766286">
        <w:rPr>
          <w:b/>
          <w:sz w:val="28"/>
          <w:szCs w:val="28"/>
        </w:rPr>
        <w:t xml:space="preserve"> при включении в НВВ мероприятий из инвестиционной</w:t>
      </w:r>
    </w:p>
    <w:p w:rsidR="00E15981" w:rsidRPr="00766286" w:rsidRDefault="00E15981" w:rsidP="00E15981">
      <w:pPr>
        <w:autoSpaceDE w:val="0"/>
        <w:autoSpaceDN w:val="0"/>
        <w:adjustRightInd w:val="0"/>
        <w:jc w:val="center"/>
        <w:rPr>
          <w:b/>
          <w:sz w:val="28"/>
          <w:szCs w:val="28"/>
        </w:rPr>
      </w:pPr>
      <w:r w:rsidRPr="00766286">
        <w:rPr>
          <w:b/>
          <w:sz w:val="28"/>
          <w:szCs w:val="28"/>
        </w:rPr>
        <w:t>программы на 2018-2022 гг.</w:t>
      </w:r>
    </w:p>
    <w:p w:rsidR="00E15981" w:rsidRPr="00766286" w:rsidRDefault="00E15981" w:rsidP="00E15981">
      <w:pPr>
        <w:autoSpaceDE w:val="0"/>
        <w:autoSpaceDN w:val="0"/>
        <w:adjustRightInd w:val="0"/>
        <w:jc w:val="center"/>
        <w:rPr>
          <w:sz w:val="28"/>
          <w:szCs w:val="28"/>
        </w:rPr>
      </w:pPr>
    </w:p>
    <w:tbl>
      <w:tblPr>
        <w:tblW w:w="15755" w:type="dxa"/>
        <w:tblInd w:w="-176" w:type="dxa"/>
        <w:tblLook w:val="04A0" w:firstRow="1" w:lastRow="0" w:firstColumn="1" w:lastColumn="0" w:noHBand="0" w:noVBand="1"/>
      </w:tblPr>
      <w:tblGrid>
        <w:gridCol w:w="384"/>
        <w:gridCol w:w="3110"/>
        <w:gridCol w:w="1011"/>
        <w:gridCol w:w="1044"/>
        <w:gridCol w:w="1134"/>
        <w:gridCol w:w="1134"/>
        <w:gridCol w:w="1134"/>
        <w:gridCol w:w="1134"/>
        <w:gridCol w:w="1134"/>
        <w:gridCol w:w="1134"/>
        <w:gridCol w:w="1134"/>
        <w:gridCol w:w="1134"/>
        <w:gridCol w:w="1134"/>
      </w:tblGrid>
      <w:tr w:rsidR="002E5274" w:rsidRPr="00EE0E71" w:rsidTr="002E5274">
        <w:trPr>
          <w:trHeight w:val="284"/>
        </w:trPr>
        <w:tc>
          <w:tcPr>
            <w:tcW w:w="384" w:type="dxa"/>
            <w:vMerge w:val="restart"/>
            <w:tcBorders>
              <w:top w:val="single" w:sz="4" w:space="0" w:color="auto"/>
              <w:left w:val="single" w:sz="4" w:space="0" w:color="auto"/>
              <w:right w:val="single" w:sz="4" w:space="0" w:color="auto"/>
            </w:tcBorders>
            <w:tcMar>
              <w:left w:w="57" w:type="dxa"/>
              <w:right w:w="57" w:type="dxa"/>
            </w:tcMar>
            <w:vAlign w:val="center"/>
          </w:tcPr>
          <w:p w:rsidR="002E5274" w:rsidRPr="00EE0E71" w:rsidRDefault="002E5274" w:rsidP="00BB5AAB">
            <w:pPr>
              <w:jc w:val="center"/>
              <w:rPr>
                <w:color w:val="000000"/>
              </w:rPr>
            </w:pPr>
            <w:r w:rsidRPr="00EE0E71">
              <w:rPr>
                <w:color w:val="000000"/>
              </w:rPr>
              <w:t>№ п/п</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Наименование показателя</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Единица измерения</w:t>
            </w:r>
          </w:p>
        </w:tc>
        <w:tc>
          <w:tcPr>
            <w:tcW w:w="217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2018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2019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2021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E5274" w:rsidRPr="002E5274" w:rsidRDefault="002E5274" w:rsidP="00BB5AAB">
            <w:pPr>
              <w:jc w:val="center"/>
              <w:rPr>
                <w:color w:val="000000"/>
              </w:rPr>
            </w:pPr>
            <w:r w:rsidRPr="002E5274">
              <w:rPr>
                <w:color w:val="000000"/>
              </w:rPr>
              <w:t>2022 год</w:t>
            </w:r>
          </w:p>
        </w:tc>
      </w:tr>
      <w:tr w:rsidR="002E5274" w:rsidRPr="00EE0E71" w:rsidTr="002E5274">
        <w:trPr>
          <w:trHeight w:val="284"/>
        </w:trPr>
        <w:tc>
          <w:tcPr>
            <w:tcW w:w="384" w:type="dxa"/>
            <w:vMerge/>
            <w:tcBorders>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BB5AAB">
            <w:pPr>
              <w:rPr>
                <w:color w:val="000000"/>
              </w:rPr>
            </w:pPr>
          </w:p>
        </w:tc>
        <w:tc>
          <w:tcPr>
            <w:tcW w:w="311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2E5274" w:rsidRPr="002E5274" w:rsidRDefault="002E5274" w:rsidP="00BB5AAB">
            <w:pPr>
              <w:rPr>
                <w:color w:val="000000"/>
              </w:rPr>
            </w:pPr>
          </w:p>
        </w:tc>
        <w:tc>
          <w:tcPr>
            <w:tcW w:w="101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2E5274" w:rsidRPr="002E5274" w:rsidRDefault="002E5274" w:rsidP="00BB5AAB">
            <w:pPr>
              <w:rPr>
                <w:color w:val="000000"/>
              </w:rPr>
            </w:pP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BB5AAB">
            <w:pPr>
              <w:jc w:val="center"/>
              <w:rPr>
                <w:color w:val="000000"/>
              </w:rPr>
            </w:pPr>
            <w:r w:rsidRPr="002E5274">
              <w:rPr>
                <w:color w:val="000000"/>
              </w:rPr>
              <w:t>с 01.07.     по 31.12.</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BB5AAB">
            <w:pPr>
              <w:jc w:val="center"/>
              <w:rPr>
                <w:color w:val="000000"/>
              </w:rPr>
            </w:pPr>
            <w:r w:rsidRPr="00EE0E71">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2</w:t>
            </w:r>
          </w:p>
        </w:tc>
        <w:tc>
          <w:tcPr>
            <w:tcW w:w="1011" w:type="dxa"/>
            <w:tcBorders>
              <w:top w:val="nil"/>
              <w:left w:val="nil"/>
              <w:bottom w:val="single" w:sz="4" w:space="0" w:color="auto"/>
              <w:right w:val="nil"/>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8</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10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11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12</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BB5AAB">
            <w:pPr>
              <w:jc w:val="center"/>
              <w:rPr>
                <w:color w:val="000000"/>
              </w:rPr>
            </w:pPr>
            <w:r w:rsidRPr="002E5274">
              <w:rPr>
                <w:color w:val="000000"/>
              </w:rPr>
              <w:t>13</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Принято сточных вод по категориям потребителей</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м</w:t>
            </w:r>
            <w:r w:rsidRPr="002E5274">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502326,75</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2</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НВВ (без мероприятий из инвестиционной программы с налогом на прибыль)</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8545,04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14281,61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13174,36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14068,50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14665,25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15770,38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15830,88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16966,13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15229,48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15229,48</w:t>
            </w:r>
          </w:p>
        </w:tc>
      </w:tr>
      <w:tr w:rsidR="002E5274" w:rsidRPr="00EE0E71" w:rsidTr="002E5274">
        <w:trPr>
          <w:trHeight w:val="284"/>
        </w:trPr>
        <w:tc>
          <w:tcPr>
            <w:tcW w:w="384" w:type="dxa"/>
            <w:tcBorders>
              <w:top w:val="nil"/>
              <w:left w:val="single" w:sz="4" w:space="0" w:color="auto"/>
              <w:bottom w:val="nil"/>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3</w:t>
            </w:r>
          </w:p>
        </w:tc>
        <w:tc>
          <w:tcPr>
            <w:tcW w:w="3110" w:type="dxa"/>
            <w:tcBorders>
              <w:top w:val="nil"/>
              <w:left w:val="single" w:sz="4" w:space="0" w:color="auto"/>
              <w:bottom w:val="nil"/>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Тариф (прочие потребители) (без мероприятий из инвестиционной программы с налогом на прибыль)</w:t>
            </w:r>
          </w:p>
        </w:tc>
        <w:tc>
          <w:tcPr>
            <w:tcW w:w="1011"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руб./м</w:t>
            </w:r>
            <w:r w:rsidRPr="002E5274">
              <w:rPr>
                <w:color w:val="000000"/>
                <w:vertAlign w:val="superscript"/>
              </w:rPr>
              <w:t>3</w:t>
            </w: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17,01</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28,43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26,23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28,01</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29,19</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31,39</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31,52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33,78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30,32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30,32</w:t>
            </w:r>
          </w:p>
        </w:tc>
      </w:tr>
      <w:tr w:rsidR="002E5274" w:rsidRPr="00EE0E71" w:rsidTr="002E5274">
        <w:trPr>
          <w:trHeight w:val="284"/>
        </w:trPr>
        <w:tc>
          <w:tcPr>
            <w:tcW w:w="3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4</w:t>
            </w:r>
          </w:p>
        </w:tc>
        <w:tc>
          <w:tcPr>
            <w:tcW w:w="31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НВВ (с учетом мероприятий из инвестиционной программы с налогом на прибыль)</w:t>
            </w:r>
          </w:p>
        </w:tc>
        <w:tc>
          <w:tcPr>
            <w:tcW w:w="1011" w:type="dxa"/>
            <w:tcBorders>
              <w:top w:val="single" w:sz="4" w:space="0" w:color="auto"/>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руб./м</w:t>
            </w:r>
            <w:r w:rsidRPr="002E5274">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8645,04</w:t>
            </w:r>
          </w:p>
        </w:tc>
        <w:tc>
          <w:tcPr>
            <w:tcW w:w="113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14381,61</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14381,61</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15275,75</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15275,75</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16380,88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16380,88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17516,13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16079,48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E5274" w:rsidRPr="002E5274" w:rsidRDefault="002E5274" w:rsidP="002E5274">
            <w:pPr>
              <w:jc w:val="center"/>
              <w:rPr>
                <w:color w:val="000000"/>
              </w:rPr>
            </w:pPr>
            <w:r w:rsidRPr="002E5274">
              <w:rPr>
                <w:color w:val="000000"/>
              </w:rPr>
              <w:t>16079,48</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5</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Мероприятия из инвестиционной программы</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1207,25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1207,25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610,50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610,50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550,01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850,01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850,01</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6</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Мероприятия из инвестиционной программы с налогом на прибыль</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1207,25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1207,25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610,50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610,50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550,01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550,01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850,01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2E5274" w:rsidRPr="002E5274" w:rsidRDefault="002E5274" w:rsidP="002E5274">
            <w:pPr>
              <w:jc w:val="center"/>
              <w:rPr>
                <w:color w:val="000000"/>
              </w:rPr>
            </w:pPr>
            <w:r w:rsidRPr="002E5274">
              <w:rPr>
                <w:color w:val="000000"/>
              </w:rPr>
              <w:t>850,01</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7</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Итого тариф (с учетом мероприятий из инвестиционной программы и налогом на прибыль)</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руб./м</w:t>
            </w:r>
            <w:r w:rsidRPr="002E5274">
              <w:rPr>
                <w:color w:val="000000"/>
                <w:vertAlign w:val="superscript"/>
              </w:rPr>
              <w:t>3</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17,21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28,63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28,63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30,41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30,41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32,61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32,61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34,87</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32,01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32,01</w:t>
            </w:r>
          </w:p>
        </w:tc>
      </w:tr>
      <w:tr w:rsidR="002E5274" w:rsidRPr="00EE0E71" w:rsidTr="002E5274">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2E5274" w:rsidRPr="00EE0E71" w:rsidRDefault="002E5274" w:rsidP="002E5274">
            <w:pPr>
              <w:jc w:val="center"/>
              <w:rPr>
                <w:color w:val="000000"/>
              </w:rPr>
            </w:pPr>
            <w:r w:rsidRPr="00EE0E71">
              <w:rPr>
                <w:color w:val="000000"/>
              </w:rPr>
              <w:t>8</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rPr>
                <w:color w:val="000000"/>
              </w:rPr>
            </w:pPr>
            <w:r w:rsidRPr="002E5274">
              <w:rPr>
                <w:color w:val="000000"/>
              </w:rPr>
              <w:t>Рост тарифа, за счет инвестиционной составляющей</w:t>
            </w:r>
          </w:p>
        </w:tc>
        <w:tc>
          <w:tcPr>
            <w:tcW w:w="1011" w:type="dxa"/>
            <w:tcBorders>
              <w:top w:val="nil"/>
              <w:left w:val="nil"/>
              <w:bottom w:val="single" w:sz="4" w:space="0" w:color="auto"/>
              <w:right w:val="nil"/>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E5274" w:rsidRPr="002E5274" w:rsidRDefault="002E5274" w:rsidP="002E5274">
            <w:pPr>
              <w:jc w:val="center"/>
              <w:rPr>
                <w:color w:val="000000"/>
              </w:rPr>
            </w:pPr>
            <w:r w:rsidRPr="002E5274">
              <w:rPr>
                <w:color w:val="000000"/>
              </w:rPr>
              <w:t>106%</w:t>
            </w:r>
          </w:p>
        </w:tc>
      </w:tr>
    </w:tbl>
    <w:p w:rsidR="00E15981" w:rsidRPr="00766286" w:rsidRDefault="00E15981" w:rsidP="00E15981">
      <w:pPr>
        <w:autoSpaceDE w:val="0"/>
        <w:autoSpaceDN w:val="0"/>
        <w:adjustRightInd w:val="0"/>
        <w:jc w:val="center"/>
        <w:outlineLvl w:val="0"/>
        <w:rPr>
          <w:sz w:val="28"/>
          <w:szCs w:val="28"/>
        </w:rPr>
      </w:pPr>
    </w:p>
    <w:p w:rsidR="009023BD" w:rsidRPr="00766286" w:rsidRDefault="006F0CCC" w:rsidP="009023BD">
      <w:pPr>
        <w:autoSpaceDE w:val="0"/>
        <w:autoSpaceDN w:val="0"/>
        <w:adjustRightInd w:val="0"/>
        <w:jc w:val="center"/>
        <w:outlineLvl w:val="0"/>
        <w:rPr>
          <w:b/>
          <w:sz w:val="28"/>
          <w:szCs w:val="28"/>
        </w:rPr>
      </w:pPr>
      <w:r w:rsidRPr="00766286">
        <w:rPr>
          <w:sz w:val="28"/>
          <w:szCs w:val="28"/>
        </w:rPr>
        <w:br w:type="page"/>
      </w:r>
      <w:bookmarkEnd w:id="4"/>
      <w:r w:rsidR="009023BD" w:rsidRPr="00766286">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766286" w:rsidTr="00CB1196">
        <w:trPr>
          <w:trHeight w:val="371"/>
          <w:jc w:val="center"/>
        </w:trPr>
        <w:tc>
          <w:tcPr>
            <w:tcW w:w="598" w:type="dxa"/>
            <w:vAlign w:val="center"/>
          </w:tcPr>
          <w:p w:rsidR="00E72FFB" w:rsidRPr="00766286" w:rsidRDefault="00E72FFB" w:rsidP="00E12771">
            <w:pPr>
              <w:tabs>
                <w:tab w:val="left" w:pos="7440"/>
              </w:tabs>
              <w:jc w:val="center"/>
              <w:rPr>
                <w:sz w:val="24"/>
                <w:szCs w:val="24"/>
              </w:rPr>
            </w:pPr>
            <w:r w:rsidRPr="00766286">
              <w:rPr>
                <w:sz w:val="24"/>
                <w:szCs w:val="24"/>
              </w:rPr>
              <w:t>№ п/п</w:t>
            </w:r>
          </w:p>
        </w:tc>
        <w:tc>
          <w:tcPr>
            <w:tcW w:w="8859" w:type="dxa"/>
            <w:vAlign w:val="center"/>
          </w:tcPr>
          <w:p w:rsidR="00E72FFB" w:rsidRPr="00766286" w:rsidRDefault="00E72FFB" w:rsidP="00E12771">
            <w:pPr>
              <w:tabs>
                <w:tab w:val="left" w:pos="7440"/>
              </w:tabs>
              <w:jc w:val="center"/>
              <w:rPr>
                <w:sz w:val="24"/>
                <w:szCs w:val="24"/>
              </w:rPr>
            </w:pPr>
            <w:r w:rsidRPr="00766286">
              <w:rPr>
                <w:sz w:val="24"/>
                <w:szCs w:val="24"/>
              </w:rPr>
              <w:t>Наименование мероприятия</w:t>
            </w:r>
          </w:p>
        </w:tc>
        <w:tc>
          <w:tcPr>
            <w:tcW w:w="1662" w:type="dxa"/>
            <w:vAlign w:val="center"/>
          </w:tcPr>
          <w:p w:rsidR="00E72FFB" w:rsidRPr="00766286" w:rsidRDefault="00E72FFB" w:rsidP="00E12771">
            <w:pPr>
              <w:tabs>
                <w:tab w:val="left" w:pos="7440"/>
              </w:tabs>
              <w:jc w:val="center"/>
              <w:rPr>
                <w:sz w:val="24"/>
                <w:szCs w:val="24"/>
              </w:rPr>
            </w:pPr>
            <w:r w:rsidRPr="00766286">
              <w:rPr>
                <w:sz w:val="24"/>
                <w:szCs w:val="24"/>
              </w:rPr>
              <w:t>Срок выполнения</w:t>
            </w:r>
          </w:p>
        </w:tc>
        <w:tc>
          <w:tcPr>
            <w:tcW w:w="1461" w:type="dxa"/>
            <w:vAlign w:val="center"/>
          </w:tcPr>
          <w:p w:rsidR="00E72FFB" w:rsidRPr="00766286" w:rsidRDefault="00E72FFB" w:rsidP="00E12771">
            <w:pPr>
              <w:tabs>
                <w:tab w:val="left" w:pos="7440"/>
              </w:tabs>
              <w:jc w:val="center"/>
              <w:rPr>
                <w:sz w:val="24"/>
                <w:szCs w:val="24"/>
              </w:rPr>
            </w:pPr>
            <w:r w:rsidRPr="00766286">
              <w:rPr>
                <w:sz w:val="24"/>
                <w:szCs w:val="24"/>
              </w:rPr>
              <w:t>Стоимость, млн. руб.</w:t>
            </w:r>
          </w:p>
        </w:tc>
        <w:tc>
          <w:tcPr>
            <w:tcW w:w="2187" w:type="dxa"/>
            <w:vAlign w:val="center"/>
          </w:tcPr>
          <w:p w:rsidR="00E72FFB" w:rsidRPr="00766286" w:rsidRDefault="00E72FFB" w:rsidP="00E12771">
            <w:pPr>
              <w:tabs>
                <w:tab w:val="left" w:pos="7440"/>
              </w:tabs>
              <w:jc w:val="center"/>
              <w:rPr>
                <w:sz w:val="24"/>
                <w:szCs w:val="24"/>
              </w:rPr>
            </w:pPr>
            <w:r w:rsidRPr="00766286">
              <w:rPr>
                <w:sz w:val="24"/>
                <w:szCs w:val="24"/>
              </w:rPr>
              <w:t>Ответственный исполнитель</w:t>
            </w:r>
          </w:p>
        </w:tc>
      </w:tr>
      <w:tr w:rsidR="009023BD" w:rsidRPr="00766286" w:rsidTr="00CB1196">
        <w:trPr>
          <w:trHeight w:val="371"/>
          <w:jc w:val="center"/>
        </w:trPr>
        <w:tc>
          <w:tcPr>
            <w:tcW w:w="598"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8859"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662"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461"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2187" w:type="dxa"/>
            <w:vAlign w:val="center"/>
          </w:tcPr>
          <w:p w:rsidR="009023BD" w:rsidRPr="00766286" w:rsidRDefault="00E72FFB" w:rsidP="00273FF0">
            <w:pPr>
              <w:tabs>
                <w:tab w:val="left" w:pos="7440"/>
              </w:tabs>
              <w:jc w:val="center"/>
              <w:rPr>
                <w:sz w:val="24"/>
                <w:szCs w:val="24"/>
              </w:rPr>
            </w:pPr>
            <w:r w:rsidRPr="00766286">
              <w:rPr>
                <w:sz w:val="24"/>
                <w:szCs w:val="24"/>
              </w:rPr>
              <w:t>-</w:t>
            </w:r>
          </w:p>
        </w:tc>
      </w:tr>
    </w:tbl>
    <w:p w:rsidR="009023BD" w:rsidRPr="00766286" w:rsidRDefault="009023BD" w:rsidP="009023BD">
      <w:pPr>
        <w:autoSpaceDE w:val="0"/>
        <w:autoSpaceDN w:val="0"/>
        <w:adjustRightInd w:val="0"/>
        <w:jc w:val="center"/>
        <w:outlineLvl w:val="0"/>
        <w:rPr>
          <w:sz w:val="28"/>
          <w:szCs w:val="28"/>
        </w:rPr>
      </w:pPr>
    </w:p>
    <w:p w:rsidR="00593D30" w:rsidRPr="00766286" w:rsidRDefault="00593D30" w:rsidP="009023BD">
      <w:pPr>
        <w:autoSpaceDE w:val="0"/>
        <w:autoSpaceDN w:val="0"/>
        <w:adjustRightInd w:val="0"/>
        <w:ind w:left="5245"/>
        <w:jc w:val="center"/>
        <w:outlineLvl w:val="0"/>
        <w:rPr>
          <w:b/>
          <w:bCs/>
          <w:sz w:val="28"/>
          <w:szCs w:val="28"/>
        </w:rPr>
      </w:pPr>
    </w:p>
    <w:sectPr w:rsidR="00593D30" w:rsidRPr="00766286"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13" w:rsidRDefault="003C7313">
      <w:r>
        <w:separator/>
      </w:r>
    </w:p>
  </w:endnote>
  <w:endnote w:type="continuationSeparator" w:id="0">
    <w:p w:rsidR="003C7313" w:rsidRDefault="003C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13" w:rsidRDefault="003C7313">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3C7313" w:rsidRDefault="003C73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13" w:rsidRDefault="003C7313">
    <w:pPr>
      <w:pStyle w:val="a5"/>
    </w:pPr>
  </w:p>
  <w:p w:rsidR="003C7313" w:rsidRDefault="003C73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13" w:rsidRDefault="003C7313">
      <w:r>
        <w:separator/>
      </w:r>
    </w:p>
  </w:footnote>
  <w:footnote w:type="continuationSeparator" w:id="0">
    <w:p w:rsidR="003C7313" w:rsidRDefault="003C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13" w:rsidRDefault="003C7313" w:rsidP="009F12E6">
    <w:pPr>
      <w:pStyle w:val="a9"/>
      <w:tabs>
        <w:tab w:val="left" w:pos="4556"/>
      </w:tabs>
      <w:jc w:val="center"/>
      <w:rPr>
        <w:sz w:val="28"/>
        <w:szCs w:val="28"/>
      </w:rPr>
    </w:pPr>
  </w:p>
  <w:p w:rsidR="003C7313" w:rsidRDefault="003C7313" w:rsidP="009F12E6">
    <w:pPr>
      <w:pStyle w:val="a9"/>
      <w:tabs>
        <w:tab w:val="left" w:pos="4556"/>
      </w:tabs>
      <w:jc w:val="center"/>
      <w:rPr>
        <w:sz w:val="28"/>
        <w:szCs w:val="28"/>
      </w:rPr>
    </w:pPr>
  </w:p>
  <w:p w:rsidR="003C7313" w:rsidRPr="009F12E6" w:rsidRDefault="003C7313"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2E5274">
      <w:rPr>
        <w:noProof/>
        <w:sz w:val="28"/>
        <w:szCs w:val="28"/>
      </w:rPr>
      <w:t>4</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317"/>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34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274"/>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C7313"/>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66286"/>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07DE"/>
    <w:rsid w:val="008B3B85"/>
    <w:rsid w:val="008B46D4"/>
    <w:rsid w:val="008B5324"/>
    <w:rsid w:val="008B6266"/>
    <w:rsid w:val="008B6F53"/>
    <w:rsid w:val="008B7089"/>
    <w:rsid w:val="008C015D"/>
    <w:rsid w:val="008C19A2"/>
    <w:rsid w:val="008C2E06"/>
    <w:rsid w:val="008C4673"/>
    <w:rsid w:val="008C4BA0"/>
    <w:rsid w:val="008D1D91"/>
    <w:rsid w:val="008D3048"/>
    <w:rsid w:val="008E1A18"/>
    <w:rsid w:val="008E1F6D"/>
    <w:rsid w:val="008E2081"/>
    <w:rsid w:val="008E222F"/>
    <w:rsid w:val="008E4A87"/>
    <w:rsid w:val="008E52F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3F9F"/>
    <w:rsid w:val="00A34DA3"/>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5FAB"/>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13C7"/>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23D8"/>
    <w:rsid w:val="00DB288A"/>
    <w:rsid w:val="00DB2C65"/>
    <w:rsid w:val="00DB4E85"/>
    <w:rsid w:val="00DB5110"/>
    <w:rsid w:val="00DB6E9D"/>
    <w:rsid w:val="00DC2A22"/>
    <w:rsid w:val="00DC4484"/>
    <w:rsid w:val="00DC65A3"/>
    <w:rsid w:val="00DC739D"/>
    <w:rsid w:val="00DC7F9A"/>
    <w:rsid w:val="00DD0D7E"/>
    <w:rsid w:val="00DD4981"/>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52A0"/>
    <w:rsid w:val="00F6061A"/>
    <w:rsid w:val="00F60658"/>
    <w:rsid w:val="00F60D2B"/>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E58F973"/>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72607490">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64945975">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5CAC-219C-4A17-8DEB-445C941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10006</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18</cp:revision>
  <cp:lastPrinted>2018-12-26T04:30:00Z</cp:lastPrinted>
  <dcterms:created xsi:type="dcterms:W3CDTF">2018-07-25T01:37:00Z</dcterms:created>
  <dcterms:modified xsi:type="dcterms:W3CDTF">2019-01-11T06:52:00Z</dcterms:modified>
</cp:coreProperties>
</file>