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D981" w14:textId="77777777" w:rsidR="00BC23EC" w:rsidRDefault="00BC23EC">
      <w:pPr>
        <w:pStyle w:val="Default"/>
      </w:pPr>
    </w:p>
    <w:p w14:paraId="61E9E880" w14:textId="77777777" w:rsidR="00BC23EC" w:rsidRDefault="009F121B">
      <w:pPr>
        <w:pStyle w:val="Default"/>
        <w:jc w:val="center"/>
        <w:rPr>
          <w:sz w:val="23"/>
        </w:rPr>
      </w:pPr>
      <w:r>
        <w:rPr>
          <w:b/>
          <w:sz w:val="23"/>
        </w:rPr>
        <w:t>СВОДКА</w:t>
      </w:r>
    </w:p>
    <w:p w14:paraId="65897101" w14:textId="77777777" w:rsidR="00BC23EC" w:rsidRDefault="009F121B">
      <w:pPr>
        <w:pStyle w:val="Default"/>
        <w:jc w:val="center"/>
        <w:rPr>
          <w:b/>
          <w:sz w:val="23"/>
        </w:rPr>
      </w:pPr>
      <w:r>
        <w:rPr>
          <w:b/>
          <w:sz w:val="23"/>
        </w:rPr>
        <w:t>поступивших предложений к проекту Соглашения об условиях осуществления регулируемых видов деятельности</w:t>
      </w:r>
    </w:p>
    <w:p w14:paraId="64C132E4" w14:textId="77777777" w:rsidR="00BC23EC" w:rsidRDefault="00BC23EC">
      <w:pPr>
        <w:pStyle w:val="Default"/>
        <w:jc w:val="center"/>
        <w:rPr>
          <w:b/>
          <w:sz w:val="23"/>
        </w:rPr>
      </w:pPr>
    </w:p>
    <w:p w14:paraId="62CA3482" w14:textId="77777777" w:rsidR="00BC23EC" w:rsidRDefault="00BC23EC">
      <w:pPr>
        <w:pStyle w:val="Default"/>
        <w:jc w:val="center"/>
        <w:rPr>
          <w:sz w:val="23"/>
        </w:rPr>
      </w:pPr>
    </w:p>
    <w:p w14:paraId="024D5DB6" w14:textId="2DDED210" w:rsidR="00BC23EC" w:rsidRDefault="009F121B">
      <w:pPr>
        <w:pStyle w:val="Default"/>
        <w:ind w:firstLine="708"/>
        <w:jc w:val="both"/>
      </w:pPr>
      <w:r>
        <w:t xml:space="preserve">В соответствии с требованиями постановления Правительства Российской Федерации от 31.08.2023 № 1416 «О соглашениях об условиях осуществления регулируемых видов деятельности» (далее — Постановление № 1416) РЭК Кузбасса на официальном сайте в сети интернет по адресу: </w:t>
      </w:r>
      <w:r w:rsidR="00B121C5" w:rsidRPr="00B121C5">
        <w:rPr>
          <w:rStyle w:val="a3"/>
        </w:rPr>
        <w:t>https://www.recko.ru/dokumentyi/o_soglasheniyah_ob_usloviyah_osuschestvleniya_reguliruemyih_vidov_deyatelnosti/subtitle/kuzbass_skek2026/</w:t>
      </w:r>
      <w:r>
        <w:t xml:space="preserve"> размещены материалы в целях общественного обсуждения проекта Соглашения об условиях осуществления регулируемых видов деятельности, направленных </w:t>
      </w:r>
      <w:r w:rsidR="00B121C5" w:rsidRPr="00B121C5">
        <w:t xml:space="preserve">ОАО </w:t>
      </w:r>
      <w:r w:rsidR="00B121C5">
        <w:t>«</w:t>
      </w:r>
      <w:r w:rsidR="00B121C5" w:rsidRPr="00B121C5">
        <w:t>Северо-Кузбасская энергетическая компания</w:t>
      </w:r>
      <w:r w:rsidR="00B121C5">
        <w:t>»</w:t>
      </w:r>
      <w:r>
        <w:t>. Общественное обсуждение проведено с 2</w:t>
      </w:r>
      <w:r w:rsidR="00B121C5">
        <w:t>7</w:t>
      </w:r>
      <w:r>
        <w:t xml:space="preserve"> мая 202</w:t>
      </w:r>
      <w:r w:rsidR="00B121C5">
        <w:t>6</w:t>
      </w:r>
      <w:r>
        <w:t xml:space="preserve"> года до 1</w:t>
      </w:r>
      <w:r w:rsidR="00B121C5">
        <w:t>7</w:t>
      </w:r>
      <w:r>
        <w:t xml:space="preserve"> июня 202</w:t>
      </w:r>
      <w:r w:rsidR="00B121C5">
        <w:t>6</w:t>
      </w:r>
      <w:r>
        <w:t xml:space="preserve"> года включительно. </w:t>
      </w:r>
    </w:p>
    <w:p w14:paraId="6C6723F7" w14:textId="78D82136" w:rsidR="00BC23EC" w:rsidRDefault="009F121B" w:rsidP="003A680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проведения общественного обсуждения по проекту Соглашения об условиях осуществления регулируемых видов деятельности в адрес РЭК Кузбасса поступил</w:t>
      </w:r>
      <w:r w:rsidR="005B7126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следующ</w:t>
      </w:r>
      <w:r w:rsidR="005B7126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е предложени</w:t>
      </w:r>
      <w:r w:rsidR="005B7126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участник</w:t>
      </w:r>
      <w:r w:rsidR="005B7126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публичных консультаций:</w:t>
      </w:r>
    </w:p>
    <w:p w14:paraId="4BDBA4FA" w14:textId="1597946C" w:rsidR="00BC23EC" w:rsidRDefault="009F121B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ПАО «</w:t>
      </w:r>
      <w:proofErr w:type="spellStart"/>
      <w:r>
        <w:rPr>
          <w:rFonts w:ascii="Times New Roman" w:hAnsi="Times New Roman"/>
          <w:sz w:val="24"/>
        </w:rPr>
        <w:t>Россети</w:t>
      </w:r>
      <w:proofErr w:type="spellEnd"/>
      <w:r>
        <w:rPr>
          <w:rFonts w:ascii="Times New Roman" w:hAnsi="Times New Roman"/>
          <w:sz w:val="24"/>
        </w:rPr>
        <w:t xml:space="preserve"> Сибирь»</w:t>
      </w:r>
      <w:r w:rsidR="005B7126">
        <w:rPr>
          <w:rFonts w:ascii="Times New Roman" w:hAnsi="Times New Roman"/>
          <w:sz w:val="24"/>
        </w:rPr>
        <w:t xml:space="preserve"> </w:t>
      </w:r>
      <w:r w:rsidR="005B7126" w:rsidRPr="005B7126">
        <w:rPr>
          <w:rFonts w:ascii="Times New Roman" w:hAnsi="Times New Roman"/>
          <w:sz w:val="24"/>
        </w:rPr>
        <w:t>–</w:t>
      </w:r>
      <w:r w:rsidR="005B7126" w:rsidRPr="005B7126">
        <w:t xml:space="preserve"> </w:t>
      </w:r>
      <w:r w:rsidR="005B7126" w:rsidRPr="005B7126">
        <w:rPr>
          <w:rFonts w:ascii="Times New Roman" w:hAnsi="Times New Roman"/>
          <w:sz w:val="24"/>
        </w:rPr>
        <w:t>«Кузбассэнерго – РЭС»</w:t>
      </w:r>
    </w:p>
    <w:tbl>
      <w:tblPr>
        <w:tblStyle w:val="a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3827"/>
      </w:tblGrid>
      <w:tr w:rsidR="00BC23EC" w14:paraId="58B4A2A3" w14:textId="77777777" w:rsidTr="00EE74A1">
        <w:tc>
          <w:tcPr>
            <w:tcW w:w="5529" w:type="dxa"/>
          </w:tcPr>
          <w:p w14:paraId="4454FA8A" w14:textId="77777777" w:rsidR="00BC23EC" w:rsidRDefault="009F12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Позиция участника публичных консультаций</w:t>
            </w:r>
          </w:p>
        </w:tc>
        <w:tc>
          <w:tcPr>
            <w:tcW w:w="3827" w:type="dxa"/>
          </w:tcPr>
          <w:p w14:paraId="0B1C534F" w14:textId="77777777" w:rsidR="00BC23EC" w:rsidRDefault="009F12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Позиция уполномоченного органа</w:t>
            </w:r>
          </w:p>
        </w:tc>
      </w:tr>
      <w:tr w:rsidR="00BC23EC" w14:paraId="2AD853D1" w14:textId="77777777" w:rsidTr="00EE74A1">
        <w:tc>
          <w:tcPr>
            <w:tcW w:w="5529" w:type="dxa"/>
          </w:tcPr>
          <w:p w14:paraId="3A9113D1" w14:textId="77777777" w:rsidR="000E4553" w:rsidRPr="000E4553" w:rsidRDefault="000E4553" w:rsidP="000E4553">
            <w:pPr>
              <w:jc w:val="both"/>
              <w:rPr>
                <w:rFonts w:ascii="Times New Roman" w:hAnsi="Times New Roman"/>
                <w:sz w:val="24"/>
              </w:rPr>
            </w:pPr>
            <w:r w:rsidRPr="000E4553">
              <w:rPr>
                <w:rFonts w:ascii="Times New Roman" w:hAnsi="Times New Roman"/>
                <w:sz w:val="24"/>
              </w:rPr>
              <w:t>1.</w:t>
            </w:r>
            <w:r w:rsidRPr="000E4553">
              <w:rPr>
                <w:rFonts w:ascii="Times New Roman" w:hAnsi="Times New Roman"/>
                <w:sz w:val="24"/>
              </w:rPr>
              <w:tab/>
              <w:t xml:space="preserve">Не выполняется пункт 12(1) Основ Ценообразования, а именно: </w:t>
            </w:r>
          </w:p>
          <w:p w14:paraId="6AB203ED" w14:textId="5E1A1EE5" w:rsidR="000E4553" w:rsidRPr="000E4553" w:rsidRDefault="000E4553" w:rsidP="000E4553">
            <w:pPr>
              <w:jc w:val="both"/>
              <w:rPr>
                <w:rFonts w:ascii="Times New Roman" w:hAnsi="Times New Roman"/>
                <w:sz w:val="24"/>
              </w:rPr>
            </w:pPr>
            <w:r w:rsidRPr="000E4553">
              <w:rPr>
                <w:rFonts w:ascii="Times New Roman" w:hAnsi="Times New Roman"/>
                <w:sz w:val="24"/>
              </w:rPr>
              <w:t xml:space="preserve">«Соглашение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организацией, владеющей объектами электросетевого хозяйства в объеме, соответствующем количественным критериям, установленным на 2025 год и последующие годы пунктами 1 и 2 критериев отнесения владельцев объектов электросетевого хозяйства к территориальным сетевым организациям, утвержденных постановлением Правительства Российской Федерации от 28 февраля 2015 г. </w:t>
            </w:r>
            <w:r w:rsidR="005B7126">
              <w:rPr>
                <w:rFonts w:ascii="Times New Roman" w:hAnsi="Times New Roman"/>
                <w:sz w:val="24"/>
              </w:rPr>
              <w:t>№</w:t>
            </w:r>
            <w:r w:rsidRPr="000E4553">
              <w:rPr>
                <w:rFonts w:ascii="Times New Roman" w:hAnsi="Times New Roman"/>
                <w:sz w:val="24"/>
              </w:rPr>
              <w:t xml:space="preserve"> 184 </w:t>
            </w:r>
            <w:r w:rsidR="005B7126">
              <w:rPr>
                <w:rFonts w:ascii="Times New Roman" w:hAnsi="Times New Roman"/>
                <w:sz w:val="24"/>
              </w:rPr>
              <w:t>«</w:t>
            </w:r>
            <w:r w:rsidRPr="000E4553">
              <w:rPr>
                <w:rFonts w:ascii="Times New Roman" w:hAnsi="Times New Roman"/>
                <w:sz w:val="24"/>
              </w:rPr>
              <w:t>Об отнесении владельцев объектов электросетевого хозяйства к территориальным сетевым организациям</w:t>
            </w:r>
            <w:r w:rsidR="005B7126">
              <w:rPr>
                <w:rFonts w:ascii="Times New Roman" w:hAnsi="Times New Roman"/>
                <w:sz w:val="24"/>
              </w:rPr>
              <w:t>»</w:t>
            </w:r>
            <w:r w:rsidRPr="000E4553">
              <w:rPr>
                <w:rFonts w:ascii="Times New Roman" w:hAnsi="Times New Roman"/>
                <w:sz w:val="24"/>
              </w:rPr>
              <w:t>, при соблюдении хотя бы одного из следующих условий:</w:t>
            </w:r>
          </w:p>
          <w:p w14:paraId="4A4D947B" w14:textId="77777777" w:rsidR="000E4553" w:rsidRPr="000E4553" w:rsidRDefault="000E4553" w:rsidP="000E4553">
            <w:pPr>
              <w:jc w:val="both"/>
              <w:rPr>
                <w:rFonts w:ascii="Times New Roman" w:hAnsi="Times New Roman"/>
                <w:sz w:val="24"/>
              </w:rPr>
            </w:pPr>
            <w:r w:rsidRPr="000E4553">
              <w:rPr>
                <w:rFonts w:ascii="Times New Roman" w:hAnsi="Times New Roman"/>
                <w:sz w:val="24"/>
              </w:rPr>
              <w:t>-</w:t>
            </w:r>
            <w:r w:rsidRPr="000E4553">
              <w:rPr>
                <w:rFonts w:ascii="Times New Roman" w:hAnsi="Times New Roman"/>
                <w:sz w:val="24"/>
              </w:rPr>
              <w:tab/>
              <w:t>платежи потребителей услуг (потребителей электрической энергии, гарантирующих поставщиков, энергосбытовых организаций) по заключенным договорам оказания услуг по передаче электрической энергии поступают указанной территориальной сетевой организации;</w:t>
            </w:r>
          </w:p>
          <w:p w14:paraId="1D46166A" w14:textId="77777777" w:rsidR="000E4553" w:rsidRPr="000E4553" w:rsidRDefault="000E4553" w:rsidP="000E4553">
            <w:pPr>
              <w:jc w:val="both"/>
              <w:rPr>
                <w:rFonts w:ascii="Times New Roman" w:hAnsi="Times New Roman"/>
                <w:sz w:val="24"/>
              </w:rPr>
            </w:pPr>
            <w:r w:rsidRPr="000E4553">
              <w:rPr>
                <w:rFonts w:ascii="Times New Roman" w:hAnsi="Times New Roman"/>
                <w:sz w:val="24"/>
              </w:rPr>
              <w:t>-</w:t>
            </w:r>
            <w:r w:rsidRPr="000E4553">
              <w:rPr>
                <w:rFonts w:ascii="Times New Roman" w:hAnsi="Times New Roman"/>
                <w:sz w:val="24"/>
              </w:rPr>
              <w:tab/>
              <w:t xml:space="preserve">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</w:t>
            </w:r>
            <w:r w:rsidRPr="000E4553">
              <w:rPr>
                <w:rFonts w:ascii="Times New Roman" w:hAnsi="Times New Roman"/>
                <w:sz w:val="24"/>
              </w:rPr>
              <w:lastRenderedPageBreak/>
              <w:t>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организаций, учтенной при установлении единых (котловых) тарифов.</w:t>
            </w:r>
          </w:p>
          <w:p w14:paraId="1D203614" w14:textId="37375AC1" w:rsidR="00B55D65" w:rsidRPr="00B55D65" w:rsidRDefault="000E4553" w:rsidP="00B55D65">
            <w:pPr>
              <w:jc w:val="both"/>
              <w:rPr>
                <w:rFonts w:ascii="Times New Roman" w:hAnsi="Times New Roman"/>
                <w:sz w:val="24"/>
              </w:rPr>
            </w:pPr>
            <w:r w:rsidRPr="005B7126">
              <w:rPr>
                <w:rFonts w:ascii="Times New Roman" w:hAnsi="Times New Roman"/>
                <w:sz w:val="24"/>
              </w:rPr>
              <w:t xml:space="preserve">В соответствии с положениями Федерального закона от 26.03.2003 № 35-ФЗ «Об  электроэнергетике, </w:t>
            </w:r>
            <w:r w:rsidRPr="000E4553">
              <w:rPr>
                <w:rFonts w:ascii="Times New Roman" w:hAnsi="Times New Roman"/>
                <w:sz w:val="24"/>
              </w:rPr>
              <w:t>РЭК Кузбасса</w:t>
            </w:r>
            <w:r w:rsidR="00B55D65">
              <w:t xml:space="preserve"> </w:t>
            </w:r>
            <w:r w:rsidR="00B55D65" w:rsidRPr="00B55D65">
              <w:rPr>
                <w:rFonts w:ascii="Times New Roman" w:hAnsi="Times New Roman"/>
                <w:sz w:val="24"/>
              </w:rPr>
              <w:t xml:space="preserve">на территории Кемеровской области – Кузбасс определена системообразующая территориальная сетевая компания (далее – СТСО) в результате чего реализована схема взаиморасчетов по модели «котел сверху», при которой платежи потребителей услуг по заключенным договорам оказания услуг по передаче электрической энергии поступают в СТСО </w:t>
            </w:r>
          </w:p>
          <w:p w14:paraId="24D6B148" w14:textId="5CBF893B" w:rsidR="000E4553" w:rsidRPr="000E4553" w:rsidRDefault="00B55D65" w:rsidP="00B55D65">
            <w:pPr>
              <w:jc w:val="both"/>
              <w:rPr>
                <w:rFonts w:ascii="Times New Roman" w:hAnsi="Times New Roman"/>
                <w:sz w:val="24"/>
              </w:rPr>
            </w:pPr>
            <w:r w:rsidRPr="00B55D65">
              <w:rPr>
                <w:rFonts w:ascii="Times New Roman" w:hAnsi="Times New Roman"/>
                <w:sz w:val="24"/>
              </w:rPr>
              <w:t>с последующей оплатой услуг прочих территориальных сетевых организаций</w:t>
            </w:r>
            <w:r w:rsidR="000E4553" w:rsidRPr="000E4553">
              <w:rPr>
                <w:rFonts w:ascii="Times New Roman" w:hAnsi="Times New Roman"/>
                <w:sz w:val="24"/>
              </w:rPr>
              <w:t xml:space="preserve">. Следовательно, ОАО «СКЭК» не выполняется первое условие. </w:t>
            </w:r>
          </w:p>
          <w:p w14:paraId="51A38D82" w14:textId="63994D24" w:rsidR="00BC23EC" w:rsidRDefault="000E4553" w:rsidP="000E4553">
            <w:pPr>
              <w:jc w:val="both"/>
              <w:rPr>
                <w:rFonts w:ascii="Times New Roman" w:hAnsi="Times New Roman"/>
                <w:sz w:val="24"/>
              </w:rPr>
            </w:pPr>
            <w:r w:rsidRPr="000E4553">
              <w:rPr>
                <w:rFonts w:ascii="Times New Roman" w:hAnsi="Times New Roman"/>
                <w:sz w:val="24"/>
              </w:rPr>
              <w:t>В 2026 году доля НВВ ОАО «СКЭК» с учетом расходов на оплату потерь составила</w:t>
            </w:r>
            <w:r w:rsidR="00B55D65">
              <w:rPr>
                <w:rFonts w:ascii="Times New Roman" w:hAnsi="Times New Roman"/>
                <w:sz w:val="24"/>
              </w:rPr>
              <w:t xml:space="preserve"> </w:t>
            </w:r>
            <w:r w:rsidRPr="000E4553">
              <w:rPr>
                <w:rFonts w:ascii="Times New Roman" w:hAnsi="Times New Roman"/>
                <w:sz w:val="24"/>
              </w:rPr>
              <w:t>9,89%, следовательно, не выполняется второе условие.</w:t>
            </w:r>
          </w:p>
          <w:tbl>
            <w:tblPr>
              <w:tblW w:w="5496" w:type="dxa"/>
              <w:tblLook w:val="04A0" w:firstRow="1" w:lastRow="0" w:firstColumn="1" w:lastColumn="0" w:noHBand="0" w:noVBand="1"/>
            </w:tblPr>
            <w:tblGrid>
              <w:gridCol w:w="1357"/>
              <w:gridCol w:w="1763"/>
              <w:gridCol w:w="1175"/>
              <w:gridCol w:w="1201"/>
            </w:tblGrid>
            <w:tr w:rsidR="00EE74A1" w:rsidRPr="00CD458B" w14:paraId="283BC035" w14:textId="77777777" w:rsidTr="005B7126">
              <w:trPr>
                <w:trHeight w:val="303"/>
              </w:trPr>
              <w:tc>
                <w:tcPr>
                  <w:tcW w:w="123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FD0002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Показатель</w:t>
                  </w:r>
                </w:p>
              </w:tc>
              <w:tc>
                <w:tcPr>
                  <w:tcW w:w="16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F63900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2024</w:t>
                  </w:r>
                </w:p>
              </w:tc>
              <w:tc>
                <w:tcPr>
                  <w:tcW w:w="10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F57A9C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2025</w:t>
                  </w:r>
                </w:p>
              </w:tc>
              <w:tc>
                <w:tcPr>
                  <w:tcW w:w="109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6D82B1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2026</w:t>
                  </w:r>
                </w:p>
              </w:tc>
            </w:tr>
            <w:tr w:rsidR="00EE74A1" w:rsidRPr="00CD458B" w14:paraId="7BC4940A" w14:textId="77777777" w:rsidTr="005B7126">
              <w:trPr>
                <w:trHeight w:val="1419"/>
              </w:trPr>
              <w:tc>
                <w:tcPr>
                  <w:tcW w:w="123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496721" w14:textId="77777777" w:rsidR="00EE74A1" w:rsidRPr="00920B61" w:rsidRDefault="00EE74A1" w:rsidP="00EE74A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062777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ПРЭК Кузбасса от 29.12.2023 №780 (в редакции ПРЭК от 17.01.2024 №1, ПРЭК от 12.09.2024 №181, ПРЭК от 27.12.2024 №804, ПРЭК от 26.06.2025 №193)</w:t>
                  </w:r>
                </w:p>
              </w:tc>
              <w:tc>
                <w:tcPr>
                  <w:tcW w:w="10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4EF33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5CB3">
                    <w:rPr>
                      <w:rFonts w:ascii="Times New Roman" w:hAnsi="Times New Roman"/>
                    </w:rPr>
                    <w:t>ПРЭК Кузбасса от 30.11.2024 № 476 (в редакции ПРЭК от 21.11.2025 № 341)</w:t>
                  </w:r>
                </w:p>
              </w:tc>
              <w:tc>
                <w:tcPr>
                  <w:tcW w:w="10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951D1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ПРЭК Кузбасса от 30.12.2025 № 934</w:t>
                  </w:r>
                </w:p>
              </w:tc>
            </w:tr>
            <w:tr w:rsidR="00EE74A1" w:rsidRPr="00CD458B" w14:paraId="1DE72B8F" w14:textId="77777777" w:rsidTr="005B7126">
              <w:trPr>
                <w:trHeight w:val="303"/>
              </w:trPr>
              <w:tc>
                <w:tcPr>
                  <w:tcW w:w="12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705106" w14:textId="30EA4A1D" w:rsidR="00EE74A1" w:rsidRPr="00920B61" w:rsidRDefault="00EE74A1" w:rsidP="00EE74A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 xml:space="preserve">НВВ </w:t>
                  </w:r>
                  <w:r w:rsidR="005B7126">
                    <w:rPr>
                      <w:rFonts w:ascii="Times New Roman" w:hAnsi="Times New Roman"/>
                    </w:rPr>
                    <w:t>О</w:t>
                  </w:r>
                  <w:r w:rsidRPr="00920B61">
                    <w:rPr>
                      <w:rFonts w:ascii="Times New Roman" w:hAnsi="Times New Roman"/>
                    </w:rPr>
                    <w:t>АО "СКЭК"</w:t>
                  </w:r>
                </w:p>
              </w:tc>
              <w:tc>
                <w:tcPr>
                  <w:tcW w:w="1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E123BA" w14:textId="41CE891A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2 962</w:t>
                  </w:r>
                  <w:r w:rsidR="005B7126">
                    <w:rPr>
                      <w:rFonts w:ascii="Times New Roman" w:hAnsi="Times New Roman"/>
                    </w:rPr>
                    <w:t> </w:t>
                  </w:r>
                  <w:r w:rsidRPr="00920B61">
                    <w:rPr>
                      <w:rFonts w:ascii="Times New Roman" w:hAnsi="Times New Roman"/>
                    </w:rPr>
                    <w:t>401</w:t>
                  </w:r>
                </w:p>
              </w:tc>
              <w:tc>
                <w:tcPr>
                  <w:tcW w:w="10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F834A4" w14:textId="77777777" w:rsidR="005B7126" w:rsidRDefault="005B7126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22247A87" w14:textId="2B6E852F" w:rsidR="00EE74A1" w:rsidRPr="00505CB3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5CB3">
                    <w:rPr>
                      <w:rFonts w:ascii="Times New Roman" w:hAnsi="Times New Roman"/>
                    </w:rPr>
                    <w:t>3 432 303</w:t>
                  </w:r>
                </w:p>
              </w:tc>
              <w:tc>
                <w:tcPr>
                  <w:tcW w:w="10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7D4C5B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3 503 491</w:t>
                  </w:r>
                </w:p>
              </w:tc>
            </w:tr>
            <w:tr w:rsidR="00EE74A1" w:rsidRPr="00CD458B" w14:paraId="0061FDA4" w14:textId="77777777" w:rsidTr="005B7126">
              <w:trPr>
                <w:trHeight w:val="303"/>
              </w:trPr>
              <w:tc>
                <w:tcPr>
                  <w:tcW w:w="12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7EC106" w14:textId="77777777" w:rsidR="00EE74A1" w:rsidRPr="00920B61" w:rsidRDefault="00EE74A1" w:rsidP="00EE74A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НВВ "котла"</w:t>
                  </w:r>
                </w:p>
              </w:tc>
              <w:tc>
                <w:tcPr>
                  <w:tcW w:w="1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BFE63C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27 521 149</w:t>
                  </w:r>
                </w:p>
              </w:tc>
              <w:tc>
                <w:tcPr>
                  <w:tcW w:w="10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F06A94" w14:textId="77777777" w:rsidR="00EE74A1" w:rsidRPr="00505CB3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5CB3">
                    <w:rPr>
                      <w:rFonts w:ascii="Times New Roman" w:hAnsi="Times New Roman"/>
                    </w:rPr>
                    <w:t>30 942 133</w:t>
                  </w:r>
                </w:p>
              </w:tc>
              <w:tc>
                <w:tcPr>
                  <w:tcW w:w="10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35A75B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35 422 732</w:t>
                  </w:r>
                </w:p>
              </w:tc>
            </w:tr>
            <w:tr w:rsidR="00EE74A1" w:rsidRPr="00CD458B" w14:paraId="055FD0CA" w14:textId="77777777" w:rsidTr="005B7126">
              <w:trPr>
                <w:trHeight w:val="303"/>
              </w:trPr>
              <w:tc>
                <w:tcPr>
                  <w:tcW w:w="12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4C3D2A" w14:textId="272A1700" w:rsidR="00EE74A1" w:rsidRPr="00920B61" w:rsidRDefault="00EE74A1" w:rsidP="00EE74A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 xml:space="preserve">доля </w:t>
                  </w:r>
                  <w:r w:rsidR="005B7126">
                    <w:rPr>
                      <w:rFonts w:ascii="Times New Roman" w:hAnsi="Times New Roman"/>
                    </w:rPr>
                    <w:t>О</w:t>
                  </w:r>
                  <w:r w:rsidRPr="00920B61">
                    <w:rPr>
                      <w:rFonts w:ascii="Times New Roman" w:hAnsi="Times New Roman"/>
                    </w:rPr>
                    <w:t>АО "СКЭК"</w:t>
                  </w:r>
                </w:p>
              </w:tc>
              <w:tc>
                <w:tcPr>
                  <w:tcW w:w="1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D36420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10,76%</w:t>
                  </w:r>
                </w:p>
              </w:tc>
              <w:tc>
                <w:tcPr>
                  <w:tcW w:w="10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4BD817" w14:textId="77777777" w:rsidR="005B7126" w:rsidRDefault="005B7126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6DB50F1E" w14:textId="1F7ECB59" w:rsidR="00EE74A1" w:rsidRPr="00505CB3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5CB3">
                    <w:rPr>
                      <w:rFonts w:ascii="Times New Roman" w:hAnsi="Times New Roman"/>
                    </w:rPr>
                    <w:t>11,09%</w:t>
                  </w:r>
                </w:p>
              </w:tc>
              <w:tc>
                <w:tcPr>
                  <w:tcW w:w="10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11D687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</w:rPr>
                  </w:pPr>
                  <w:r w:rsidRPr="00920B61">
                    <w:rPr>
                      <w:rFonts w:ascii="Times New Roman" w:hAnsi="Times New Roman"/>
                      <w:b/>
                      <w:color w:val="FF0000"/>
                    </w:rPr>
                    <w:t>9,89%</w:t>
                  </w:r>
                </w:p>
              </w:tc>
            </w:tr>
            <w:tr w:rsidR="00EE74A1" w:rsidRPr="00CD458B" w14:paraId="025CD6DB" w14:textId="77777777" w:rsidTr="005B7126">
              <w:trPr>
                <w:trHeight w:val="303"/>
              </w:trPr>
              <w:tc>
                <w:tcPr>
                  <w:tcW w:w="12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D97D65" w14:textId="77777777" w:rsidR="00EE74A1" w:rsidRPr="00920B61" w:rsidRDefault="00EE74A1" w:rsidP="00EE74A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20B61"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6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AC6561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920B61">
                    <w:rPr>
                      <w:rFonts w:ascii="Times New Roman" w:hAnsi="Times New Roman"/>
                      <w:b/>
                      <w:bCs/>
                    </w:rPr>
                    <w:t>соответствует</w:t>
                  </w:r>
                </w:p>
              </w:tc>
              <w:tc>
                <w:tcPr>
                  <w:tcW w:w="10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BA2456" w14:textId="77777777" w:rsidR="00EE74A1" w:rsidRPr="00505CB3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05CB3">
                    <w:rPr>
                      <w:rFonts w:ascii="Times New Roman" w:hAnsi="Times New Roman"/>
                      <w:b/>
                      <w:bCs/>
                    </w:rPr>
                    <w:t>соответствует</w:t>
                  </w:r>
                </w:p>
              </w:tc>
              <w:tc>
                <w:tcPr>
                  <w:tcW w:w="10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10D8DF" w14:textId="77777777" w:rsidR="00EE74A1" w:rsidRPr="00920B61" w:rsidRDefault="00EE74A1" w:rsidP="00EE74A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 w:rsidRPr="00CD458B">
                    <w:rPr>
                      <w:rFonts w:ascii="Times New Roman" w:hAnsi="Times New Roman"/>
                      <w:b/>
                      <w:bCs/>
                      <w:color w:val="FF0000"/>
                    </w:rPr>
                    <w:t>не соответствует</w:t>
                  </w:r>
                </w:p>
              </w:tc>
            </w:tr>
          </w:tbl>
          <w:p w14:paraId="60621224" w14:textId="01FBBEDB" w:rsidR="000E4553" w:rsidRPr="000E4553" w:rsidRDefault="000E4553" w:rsidP="00B55D6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27" w:type="dxa"/>
          </w:tcPr>
          <w:p w14:paraId="2D5ED9DA" w14:textId="50B8B245" w:rsidR="00BC23EC" w:rsidRPr="000E4553" w:rsidRDefault="000E455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1. Замечание </w:t>
            </w:r>
            <w:r w:rsidR="005B7126">
              <w:rPr>
                <w:rFonts w:ascii="Times New Roman" w:hAnsi="Times New Roman"/>
                <w:sz w:val="24"/>
              </w:rPr>
              <w:t xml:space="preserve">не </w:t>
            </w:r>
            <w:r>
              <w:rPr>
                <w:rFonts w:ascii="Times New Roman" w:hAnsi="Times New Roman"/>
                <w:sz w:val="24"/>
              </w:rPr>
              <w:t>учтено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</w:tr>
      <w:tr w:rsidR="00BC23EC" w14:paraId="2F0DD64E" w14:textId="77777777" w:rsidTr="00EE74A1">
        <w:tc>
          <w:tcPr>
            <w:tcW w:w="5529" w:type="dxa"/>
          </w:tcPr>
          <w:p w14:paraId="600E9699" w14:textId="27D3AA06" w:rsidR="003A6800" w:rsidRPr="003A6800" w:rsidRDefault="003A6800" w:rsidP="003A6800">
            <w:pPr>
              <w:jc w:val="both"/>
              <w:rPr>
                <w:rFonts w:ascii="Times New Roman" w:hAnsi="Times New Roman"/>
                <w:sz w:val="24"/>
              </w:rPr>
            </w:pPr>
            <w:r w:rsidRPr="003A6800">
              <w:rPr>
                <w:rFonts w:ascii="Times New Roman" w:hAnsi="Times New Roman"/>
                <w:sz w:val="24"/>
              </w:rPr>
              <w:t>2.</w:t>
            </w:r>
            <w:r w:rsidRPr="003A6800">
              <w:rPr>
                <w:rFonts w:ascii="Times New Roman" w:hAnsi="Times New Roman"/>
                <w:sz w:val="24"/>
              </w:rPr>
              <w:tab/>
              <w:t xml:space="preserve">В пункте 2 г) указаны объемы финансирования инвестиционной программы ОАО «СКЭК» по утвержденной ИПР до 2031 года (Постановление от 30.11.2024 №450 (в редакции ПРЭК 25.12.2025 №858)), проект внесения изменений в ИПР до 2031 года отсутствует. </w:t>
            </w:r>
          </w:p>
          <w:p w14:paraId="7DEC8961" w14:textId="7E2E68C4" w:rsidR="003A6800" w:rsidRPr="003A6800" w:rsidRDefault="003A6800" w:rsidP="003A6800">
            <w:pPr>
              <w:jc w:val="both"/>
              <w:rPr>
                <w:rFonts w:ascii="Times New Roman" w:hAnsi="Times New Roman"/>
                <w:sz w:val="24"/>
              </w:rPr>
            </w:pPr>
            <w:r w:rsidRPr="003A6800">
              <w:rPr>
                <w:rFonts w:ascii="Times New Roman" w:hAnsi="Times New Roman"/>
                <w:sz w:val="24"/>
              </w:rPr>
              <w:t xml:space="preserve">Наблюдается значительный рост источников с 2027 года по отношению к 2026 году, и далее по годам, </w:t>
            </w:r>
            <w:r w:rsidRPr="003A6800">
              <w:rPr>
                <w:rFonts w:ascii="Times New Roman" w:hAnsi="Times New Roman"/>
                <w:sz w:val="24"/>
              </w:rPr>
              <w:lastRenderedPageBreak/>
              <w:t xml:space="preserve">необходимо предоставить экономическое обоснование значительного роста, который приводит также к дополнительной нагрузке на единый (котловой) тарифов и в конечном счете на потребителей. </w:t>
            </w:r>
          </w:p>
          <w:p w14:paraId="426B04F2" w14:textId="01DDC10B" w:rsidR="00EE74A1" w:rsidRDefault="003A6800" w:rsidP="003A6800">
            <w:pPr>
              <w:jc w:val="both"/>
              <w:rPr>
                <w:rFonts w:ascii="Times New Roman" w:hAnsi="Times New Roman"/>
                <w:sz w:val="24"/>
              </w:rPr>
            </w:pPr>
            <w:r w:rsidRPr="003A6800">
              <w:rPr>
                <w:rFonts w:ascii="Times New Roman" w:hAnsi="Times New Roman"/>
                <w:sz w:val="24"/>
              </w:rPr>
              <w:t>Кроме того, отсутствуют источники финансирования 2030 - 2031 гг.</w:t>
            </w:r>
          </w:p>
        </w:tc>
        <w:tc>
          <w:tcPr>
            <w:tcW w:w="3827" w:type="dxa"/>
          </w:tcPr>
          <w:p w14:paraId="1EA99B6C" w14:textId="599D6138" w:rsidR="00BC23EC" w:rsidRDefault="009F12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2. Замечание </w:t>
            </w:r>
            <w:r w:rsidR="005B7126">
              <w:rPr>
                <w:rFonts w:ascii="Times New Roman" w:hAnsi="Times New Roman"/>
                <w:sz w:val="24"/>
              </w:rPr>
              <w:t>не</w:t>
            </w:r>
            <w:r w:rsidR="005B712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учтено. </w:t>
            </w:r>
          </w:p>
          <w:p w14:paraId="6BBC3A1A" w14:textId="77777777" w:rsidR="00BC23EC" w:rsidRDefault="00BC23E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aa"/>
        <w:tblW w:w="5006" w:type="pct"/>
        <w:tblInd w:w="-5" w:type="dxa"/>
        <w:tblLook w:val="04A0" w:firstRow="1" w:lastRow="0" w:firstColumn="1" w:lastColumn="0" w:noHBand="0" w:noVBand="1"/>
      </w:tblPr>
      <w:tblGrid>
        <w:gridCol w:w="3367"/>
        <w:gridCol w:w="1025"/>
        <w:gridCol w:w="931"/>
        <w:gridCol w:w="931"/>
        <w:gridCol w:w="931"/>
        <w:gridCol w:w="931"/>
        <w:gridCol w:w="1005"/>
        <w:gridCol w:w="711"/>
      </w:tblGrid>
      <w:tr w:rsidR="00EE74A1" w:rsidRPr="00CD458B" w14:paraId="3A5040EC" w14:textId="77777777" w:rsidTr="00A2412F">
        <w:trPr>
          <w:trHeight w:val="300"/>
        </w:trPr>
        <w:tc>
          <w:tcPr>
            <w:tcW w:w="1799" w:type="pct"/>
            <w:noWrap/>
            <w:hideMark/>
          </w:tcPr>
          <w:p w14:paraId="63663BF1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bookmarkStart w:id="0" w:name="_Hlk234245774"/>
            <w:r w:rsidRPr="00E07B9C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548" w:type="pct"/>
            <w:noWrap/>
            <w:hideMark/>
          </w:tcPr>
          <w:p w14:paraId="641678AC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07B9C">
              <w:rPr>
                <w:rFonts w:ascii="Times New Roman" w:hAnsi="Times New Roman"/>
              </w:rPr>
              <w:t>ед.изм</w:t>
            </w:r>
            <w:proofErr w:type="spellEnd"/>
            <w:r w:rsidRPr="00E07B9C">
              <w:rPr>
                <w:rFonts w:ascii="Times New Roman" w:hAnsi="Times New Roman"/>
              </w:rPr>
              <w:t>.</w:t>
            </w:r>
          </w:p>
        </w:tc>
        <w:tc>
          <w:tcPr>
            <w:tcW w:w="497" w:type="pct"/>
            <w:noWrap/>
            <w:hideMark/>
          </w:tcPr>
          <w:p w14:paraId="4D203C72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2026</w:t>
            </w:r>
          </w:p>
        </w:tc>
        <w:tc>
          <w:tcPr>
            <w:tcW w:w="497" w:type="pct"/>
            <w:noWrap/>
            <w:hideMark/>
          </w:tcPr>
          <w:p w14:paraId="68BBB2B6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2027</w:t>
            </w:r>
          </w:p>
        </w:tc>
        <w:tc>
          <w:tcPr>
            <w:tcW w:w="497" w:type="pct"/>
            <w:noWrap/>
            <w:hideMark/>
          </w:tcPr>
          <w:p w14:paraId="03C3CD08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2028</w:t>
            </w:r>
          </w:p>
        </w:tc>
        <w:tc>
          <w:tcPr>
            <w:tcW w:w="497" w:type="pct"/>
            <w:noWrap/>
            <w:hideMark/>
          </w:tcPr>
          <w:p w14:paraId="099D6861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2029</w:t>
            </w:r>
          </w:p>
        </w:tc>
        <w:tc>
          <w:tcPr>
            <w:tcW w:w="537" w:type="pct"/>
            <w:noWrap/>
            <w:hideMark/>
          </w:tcPr>
          <w:p w14:paraId="76B9F4C0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2030</w:t>
            </w:r>
          </w:p>
        </w:tc>
        <w:tc>
          <w:tcPr>
            <w:tcW w:w="126" w:type="pct"/>
            <w:noWrap/>
            <w:hideMark/>
          </w:tcPr>
          <w:p w14:paraId="56EF6DB3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2031</w:t>
            </w:r>
          </w:p>
        </w:tc>
      </w:tr>
      <w:tr w:rsidR="00EE74A1" w:rsidRPr="00CD458B" w14:paraId="66415A45" w14:textId="77777777" w:rsidTr="00A2412F">
        <w:trPr>
          <w:trHeight w:val="300"/>
        </w:trPr>
        <w:tc>
          <w:tcPr>
            <w:tcW w:w="1799" w:type="pct"/>
            <w:noWrap/>
            <w:hideMark/>
          </w:tcPr>
          <w:p w14:paraId="33D76FDB" w14:textId="77777777" w:rsidR="00EE74A1" w:rsidRPr="00E07B9C" w:rsidRDefault="00EE74A1" w:rsidP="00384D96">
            <w:pPr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Источники финансирования ИПР</w:t>
            </w:r>
          </w:p>
        </w:tc>
        <w:tc>
          <w:tcPr>
            <w:tcW w:w="548" w:type="pct"/>
            <w:noWrap/>
            <w:hideMark/>
          </w:tcPr>
          <w:p w14:paraId="6AEB0164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CD458B">
              <w:rPr>
                <w:rFonts w:ascii="Times New Roman" w:hAnsi="Times New Roman"/>
              </w:rPr>
              <w:t xml:space="preserve">млн </w:t>
            </w:r>
            <w:r w:rsidRPr="00E07B9C">
              <w:rPr>
                <w:rFonts w:ascii="Times New Roman" w:hAnsi="Times New Roman"/>
              </w:rPr>
              <w:t xml:space="preserve">руб. </w:t>
            </w:r>
          </w:p>
        </w:tc>
        <w:tc>
          <w:tcPr>
            <w:tcW w:w="497" w:type="pct"/>
            <w:noWrap/>
            <w:hideMark/>
          </w:tcPr>
          <w:p w14:paraId="54A15B8D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301,741</w:t>
            </w:r>
          </w:p>
        </w:tc>
        <w:tc>
          <w:tcPr>
            <w:tcW w:w="497" w:type="pct"/>
            <w:noWrap/>
            <w:hideMark/>
          </w:tcPr>
          <w:p w14:paraId="4D4224BC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455,634</w:t>
            </w:r>
          </w:p>
        </w:tc>
        <w:tc>
          <w:tcPr>
            <w:tcW w:w="497" w:type="pct"/>
            <w:hideMark/>
          </w:tcPr>
          <w:p w14:paraId="7D882B71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536,829</w:t>
            </w:r>
          </w:p>
        </w:tc>
        <w:tc>
          <w:tcPr>
            <w:tcW w:w="497" w:type="pct"/>
            <w:noWrap/>
            <w:hideMark/>
          </w:tcPr>
          <w:p w14:paraId="6BF78483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825,292</w:t>
            </w:r>
          </w:p>
        </w:tc>
        <w:tc>
          <w:tcPr>
            <w:tcW w:w="537" w:type="pct"/>
            <w:noWrap/>
            <w:hideMark/>
          </w:tcPr>
          <w:p w14:paraId="11A3762D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0</w:t>
            </w:r>
          </w:p>
        </w:tc>
        <w:tc>
          <w:tcPr>
            <w:tcW w:w="126" w:type="pct"/>
            <w:noWrap/>
            <w:hideMark/>
          </w:tcPr>
          <w:p w14:paraId="46F95511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EE74A1" w:rsidRPr="00CD458B" w14:paraId="08262846" w14:textId="77777777" w:rsidTr="00A2412F">
        <w:trPr>
          <w:trHeight w:val="300"/>
        </w:trPr>
        <w:tc>
          <w:tcPr>
            <w:tcW w:w="1799" w:type="pct"/>
            <w:vMerge w:val="restart"/>
            <w:noWrap/>
            <w:hideMark/>
          </w:tcPr>
          <w:p w14:paraId="7430F4E3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 xml:space="preserve">Прирост </w:t>
            </w:r>
          </w:p>
        </w:tc>
        <w:tc>
          <w:tcPr>
            <w:tcW w:w="548" w:type="pct"/>
            <w:noWrap/>
            <w:hideMark/>
          </w:tcPr>
          <w:p w14:paraId="152F90EB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CD458B">
              <w:rPr>
                <w:rFonts w:ascii="Times New Roman" w:hAnsi="Times New Roman"/>
              </w:rPr>
              <w:t xml:space="preserve">млн </w:t>
            </w:r>
            <w:r w:rsidRPr="00E07B9C">
              <w:rPr>
                <w:rFonts w:ascii="Times New Roman" w:hAnsi="Times New Roman"/>
              </w:rPr>
              <w:t xml:space="preserve">руб. </w:t>
            </w:r>
          </w:p>
        </w:tc>
        <w:tc>
          <w:tcPr>
            <w:tcW w:w="497" w:type="pct"/>
            <w:noWrap/>
            <w:hideMark/>
          </w:tcPr>
          <w:p w14:paraId="5CD742F0" w14:textId="77777777" w:rsidR="00EE74A1" w:rsidRPr="00E07B9C" w:rsidRDefault="00EE74A1" w:rsidP="00384D96">
            <w:pPr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 </w:t>
            </w:r>
          </w:p>
        </w:tc>
        <w:tc>
          <w:tcPr>
            <w:tcW w:w="497" w:type="pct"/>
            <w:noWrap/>
            <w:hideMark/>
          </w:tcPr>
          <w:p w14:paraId="492FDA89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153,893</w:t>
            </w:r>
          </w:p>
        </w:tc>
        <w:tc>
          <w:tcPr>
            <w:tcW w:w="497" w:type="pct"/>
            <w:noWrap/>
            <w:hideMark/>
          </w:tcPr>
          <w:p w14:paraId="4BDFA272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81,195</w:t>
            </w:r>
          </w:p>
        </w:tc>
        <w:tc>
          <w:tcPr>
            <w:tcW w:w="497" w:type="pct"/>
            <w:noWrap/>
            <w:hideMark/>
          </w:tcPr>
          <w:p w14:paraId="5D67BFBC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288,463</w:t>
            </w:r>
          </w:p>
        </w:tc>
        <w:tc>
          <w:tcPr>
            <w:tcW w:w="537" w:type="pct"/>
            <w:noWrap/>
            <w:hideMark/>
          </w:tcPr>
          <w:p w14:paraId="703384B5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-825,292</w:t>
            </w:r>
          </w:p>
        </w:tc>
        <w:tc>
          <w:tcPr>
            <w:tcW w:w="126" w:type="pct"/>
            <w:noWrap/>
            <w:hideMark/>
          </w:tcPr>
          <w:p w14:paraId="037705CC" w14:textId="77777777" w:rsidR="00EE74A1" w:rsidRPr="00E07B9C" w:rsidRDefault="00EE74A1" w:rsidP="00384D96">
            <w:pPr>
              <w:jc w:val="right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0,000</w:t>
            </w:r>
          </w:p>
        </w:tc>
      </w:tr>
      <w:tr w:rsidR="00EE74A1" w:rsidRPr="00CD458B" w14:paraId="2A53C37C" w14:textId="77777777" w:rsidTr="00A2412F">
        <w:trPr>
          <w:trHeight w:val="300"/>
        </w:trPr>
        <w:tc>
          <w:tcPr>
            <w:tcW w:w="1799" w:type="pct"/>
            <w:vMerge/>
            <w:hideMark/>
          </w:tcPr>
          <w:p w14:paraId="3AE3ABA5" w14:textId="77777777" w:rsidR="00EE74A1" w:rsidRPr="00E07B9C" w:rsidRDefault="00EE74A1" w:rsidP="00384D96">
            <w:pPr>
              <w:rPr>
                <w:rFonts w:ascii="Times New Roman" w:hAnsi="Times New Roman"/>
              </w:rPr>
            </w:pPr>
          </w:p>
        </w:tc>
        <w:tc>
          <w:tcPr>
            <w:tcW w:w="548" w:type="pct"/>
            <w:noWrap/>
            <w:hideMark/>
          </w:tcPr>
          <w:p w14:paraId="4B3CA4D8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%</w:t>
            </w:r>
          </w:p>
        </w:tc>
        <w:tc>
          <w:tcPr>
            <w:tcW w:w="497" w:type="pct"/>
            <w:noWrap/>
            <w:hideMark/>
          </w:tcPr>
          <w:p w14:paraId="708CCC61" w14:textId="77777777" w:rsidR="00EE74A1" w:rsidRPr="00E07B9C" w:rsidRDefault="00EE74A1" w:rsidP="00384D96">
            <w:pPr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 </w:t>
            </w:r>
          </w:p>
        </w:tc>
        <w:tc>
          <w:tcPr>
            <w:tcW w:w="497" w:type="pct"/>
            <w:noWrap/>
            <w:hideMark/>
          </w:tcPr>
          <w:p w14:paraId="6489A43D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51%</w:t>
            </w:r>
          </w:p>
        </w:tc>
        <w:tc>
          <w:tcPr>
            <w:tcW w:w="497" w:type="pct"/>
            <w:noWrap/>
            <w:hideMark/>
          </w:tcPr>
          <w:p w14:paraId="0F6EB3DF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18%</w:t>
            </w:r>
          </w:p>
        </w:tc>
        <w:tc>
          <w:tcPr>
            <w:tcW w:w="497" w:type="pct"/>
            <w:noWrap/>
            <w:hideMark/>
          </w:tcPr>
          <w:p w14:paraId="24F72138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54%</w:t>
            </w:r>
          </w:p>
        </w:tc>
        <w:tc>
          <w:tcPr>
            <w:tcW w:w="537" w:type="pct"/>
            <w:noWrap/>
            <w:hideMark/>
          </w:tcPr>
          <w:p w14:paraId="37C22574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07B9C">
              <w:rPr>
                <w:rFonts w:ascii="Times New Roman" w:hAnsi="Times New Roman"/>
                <w:b/>
                <w:color w:val="FF0000"/>
              </w:rPr>
              <w:t>-100%</w:t>
            </w:r>
          </w:p>
        </w:tc>
        <w:tc>
          <w:tcPr>
            <w:tcW w:w="126" w:type="pct"/>
            <w:noWrap/>
            <w:hideMark/>
          </w:tcPr>
          <w:p w14:paraId="2E23B141" w14:textId="77777777" w:rsidR="00EE74A1" w:rsidRPr="00E07B9C" w:rsidRDefault="00EE74A1" w:rsidP="00384D96">
            <w:pPr>
              <w:jc w:val="center"/>
              <w:rPr>
                <w:rFonts w:ascii="Times New Roman" w:hAnsi="Times New Roman"/>
              </w:rPr>
            </w:pPr>
            <w:r w:rsidRPr="00E07B9C">
              <w:rPr>
                <w:rFonts w:ascii="Times New Roman" w:hAnsi="Times New Roman"/>
              </w:rPr>
              <w:t>-</w:t>
            </w:r>
          </w:p>
        </w:tc>
      </w:tr>
    </w:tbl>
    <w:tbl>
      <w:tblPr>
        <w:tblStyle w:val="a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3821"/>
      </w:tblGrid>
      <w:tr w:rsidR="00BC23EC" w14:paraId="1FF5EE74" w14:textId="77777777" w:rsidTr="00BE68BC">
        <w:tc>
          <w:tcPr>
            <w:tcW w:w="5529" w:type="dxa"/>
          </w:tcPr>
          <w:bookmarkEnd w:id="0"/>
          <w:p w14:paraId="2DBC6838" w14:textId="4DFA198F" w:rsidR="00BE68BC" w:rsidRPr="00BE68BC" w:rsidRDefault="00A2412F" w:rsidP="00BE68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BE68BC">
              <w:rPr>
                <w:rFonts w:ascii="Times New Roman" w:hAnsi="Times New Roman"/>
                <w:sz w:val="24"/>
              </w:rPr>
              <w:t xml:space="preserve">. </w:t>
            </w:r>
            <w:r w:rsidR="00BE68BC" w:rsidRPr="00BE68BC">
              <w:rPr>
                <w:rFonts w:ascii="Times New Roman" w:hAnsi="Times New Roman"/>
                <w:sz w:val="24"/>
              </w:rPr>
              <w:t xml:space="preserve">В приложении №2 к проекту Соглашения представлен график включения выпадающих доходов предыдущих периодов начиная с 2027 года по 2031 год. </w:t>
            </w:r>
          </w:p>
          <w:p w14:paraId="2FF6EAAF" w14:textId="77777777" w:rsidR="00BE68BC" w:rsidRPr="00BE68BC" w:rsidRDefault="00BE68BC" w:rsidP="00BE68BC">
            <w:pPr>
              <w:jc w:val="both"/>
              <w:rPr>
                <w:rFonts w:ascii="Times New Roman" w:hAnsi="Times New Roman"/>
                <w:sz w:val="24"/>
              </w:rPr>
            </w:pPr>
            <w:r w:rsidRPr="00BE68BC">
              <w:rPr>
                <w:rFonts w:ascii="Times New Roman" w:hAnsi="Times New Roman"/>
                <w:sz w:val="24"/>
              </w:rPr>
              <w:t>Размер величины компенсации ВД предыдущих периодов не соответствует величине расходов, связанных с компенсацией незапланированных расходов (со знаком «плюс») или полученного избытка (со знаком «минус»), выявленных в том числе по итогам последнего истекшего года долгосрочного периода регулирования, за который известны фактические значения параметров расчета тарифов, связанных с необходимостью корректировки валовой выручки регулируемых организаций, указанной в пункте 9, а также расходы в соответствии с пунктом 10 Методических указаний и корректировка необходимой валовой выручки в соответствии с пунктом 32 Основ ценообразования, определяемые по формуле (3) пункта 11 Методических указаний, в сумме 3 800 742,93 тыс. руб. предложенных РЭК Кузбасса к учету в последующих периодах регулирования, согласно экспертного заключения на 2026 год.</w:t>
            </w:r>
          </w:p>
          <w:p w14:paraId="2E961A36" w14:textId="5DDDDB0C" w:rsidR="00BE68BC" w:rsidRPr="00BE68BC" w:rsidRDefault="00BE68BC" w:rsidP="00BE68BC">
            <w:pPr>
              <w:jc w:val="both"/>
              <w:rPr>
                <w:rFonts w:ascii="Times New Roman" w:hAnsi="Times New Roman"/>
                <w:sz w:val="24"/>
              </w:rPr>
            </w:pPr>
            <w:r w:rsidRPr="00BE68BC">
              <w:rPr>
                <w:rFonts w:ascii="Times New Roman" w:hAnsi="Times New Roman"/>
                <w:sz w:val="24"/>
              </w:rPr>
              <w:t xml:space="preserve">Кроме того, ОАО «СКЭК» предлагается в 2030 и 2031 гг. году учесть в НВВ величину в размере 1 926 млн руб. и 2 546 млн руб. соответственно, что значительно превышает 12% от НВВ на содержание ОАО «СКЭК», таким образом можно предположить (ввиду отсутствия полной сметы затрат на планируемый период), что не выполняется условие пункта 7 Основ ценообразования ППРФ 1178. </w:t>
            </w:r>
          </w:p>
          <w:p w14:paraId="4193F1EF" w14:textId="552B181A" w:rsidR="00BC23EC" w:rsidRDefault="00BE68BC" w:rsidP="00BE68BC">
            <w:pPr>
              <w:jc w:val="both"/>
              <w:rPr>
                <w:rFonts w:ascii="Times New Roman" w:hAnsi="Times New Roman"/>
                <w:sz w:val="24"/>
              </w:rPr>
            </w:pPr>
            <w:r w:rsidRPr="00BE68BC">
              <w:rPr>
                <w:rFonts w:ascii="Times New Roman" w:hAnsi="Times New Roman"/>
                <w:sz w:val="24"/>
              </w:rPr>
              <w:t>Таким образом предлагаемое распределение выпадающих доходов нарушает действующее законодательство.</w:t>
            </w:r>
          </w:p>
        </w:tc>
        <w:tc>
          <w:tcPr>
            <w:tcW w:w="3821" w:type="dxa"/>
          </w:tcPr>
          <w:p w14:paraId="63B52933" w14:textId="0697AB07" w:rsidR="00BC23EC" w:rsidRDefault="00A2412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9F121B">
              <w:rPr>
                <w:rFonts w:ascii="Times New Roman" w:hAnsi="Times New Roman"/>
                <w:sz w:val="24"/>
              </w:rPr>
              <w:t xml:space="preserve">. Замечание </w:t>
            </w:r>
            <w:r w:rsidR="005B7126">
              <w:rPr>
                <w:rFonts w:ascii="Times New Roman" w:hAnsi="Times New Roman"/>
                <w:sz w:val="24"/>
              </w:rPr>
              <w:t>не</w:t>
            </w:r>
            <w:r w:rsidR="005B7126">
              <w:rPr>
                <w:rFonts w:ascii="Times New Roman" w:hAnsi="Times New Roman"/>
                <w:sz w:val="24"/>
              </w:rPr>
              <w:t xml:space="preserve"> </w:t>
            </w:r>
            <w:r w:rsidR="009F121B">
              <w:rPr>
                <w:rFonts w:ascii="Times New Roman" w:hAnsi="Times New Roman"/>
                <w:sz w:val="24"/>
              </w:rPr>
              <w:t xml:space="preserve">учтено. </w:t>
            </w:r>
          </w:p>
          <w:p w14:paraId="37FA7F64" w14:textId="62AB7597" w:rsidR="00BC23EC" w:rsidRDefault="00BC23E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C23EC" w14:paraId="6BC04B14" w14:textId="77777777" w:rsidTr="00BE68BC">
        <w:tc>
          <w:tcPr>
            <w:tcW w:w="5529" w:type="dxa"/>
          </w:tcPr>
          <w:p w14:paraId="4F09B29C" w14:textId="12D5F93B" w:rsidR="00DA015E" w:rsidRPr="00DA015E" w:rsidRDefault="00A2412F" w:rsidP="00DA01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9F121B">
              <w:rPr>
                <w:rFonts w:ascii="Times New Roman" w:hAnsi="Times New Roman"/>
                <w:sz w:val="24"/>
              </w:rPr>
              <w:t>.</w:t>
            </w:r>
            <w:r w:rsidR="00DA015E">
              <w:rPr>
                <w:rFonts w:ascii="Times New Roman" w:hAnsi="Times New Roman"/>
                <w:sz w:val="24"/>
              </w:rPr>
              <w:t xml:space="preserve"> </w:t>
            </w:r>
            <w:r w:rsidR="00DA015E" w:rsidRPr="00DA015E">
              <w:rPr>
                <w:rFonts w:ascii="Times New Roman" w:hAnsi="Times New Roman"/>
                <w:sz w:val="24"/>
              </w:rPr>
              <w:t xml:space="preserve">в пункте 3г) и приложении №1 отражается темп изменения индивидуального тарифа Организации, что не соответствует перечню существенных условий, утвержденный ППРФ от 31.08.2023 №1416, согласно которому проект Соглашения должен включать в себя: «Порядок индексации цен </w:t>
            </w:r>
            <w:r w:rsidR="00DA015E" w:rsidRPr="00DA015E">
              <w:rPr>
                <w:rFonts w:ascii="Times New Roman" w:hAnsi="Times New Roman"/>
                <w:sz w:val="24"/>
              </w:rPr>
              <w:lastRenderedPageBreak/>
              <w:t>(тарифов) на услуги по передаче электрической энергии по единой национальной (общероссийской) электрической сет</w:t>
            </w:r>
            <w:r w:rsidR="00E8044F">
              <w:rPr>
                <w:rFonts w:ascii="Times New Roman" w:hAnsi="Times New Roman"/>
                <w:sz w:val="24"/>
              </w:rPr>
              <w:t>и</w:t>
            </w:r>
            <w:r w:rsidR="00DA015E" w:rsidRPr="00DA015E">
              <w:rPr>
                <w:rFonts w:ascii="Times New Roman" w:hAnsi="Times New Roman"/>
                <w:sz w:val="24"/>
              </w:rPr>
              <w:t xml:space="preserve">, единых (котловых) тарифов, включая темп изменения указанных цен (тарифов) в течение срока действия соглашения». </w:t>
            </w:r>
          </w:p>
          <w:p w14:paraId="3E6CBA0A" w14:textId="4215DA9F" w:rsidR="00BC23EC" w:rsidRDefault="00DA015E" w:rsidP="00DA015E">
            <w:pPr>
              <w:jc w:val="both"/>
              <w:rPr>
                <w:rFonts w:ascii="Times New Roman" w:hAnsi="Times New Roman"/>
                <w:sz w:val="24"/>
              </w:rPr>
            </w:pPr>
            <w:r w:rsidRPr="00DA015E">
              <w:rPr>
                <w:rFonts w:ascii="Times New Roman" w:hAnsi="Times New Roman"/>
                <w:sz w:val="24"/>
              </w:rPr>
              <w:t>Таким образом отражение в проекте Соглашения темпа изменения индивидуального тарифа не соответствует законодательству.</w:t>
            </w:r>
          </w:p>
        </w:tc>
        <w:tc>
          <w:tcPr>
            <w:tcW w:w="3821" w:type="dxa"/>
          </w:tcPr>
          <w:p w14:paraId="6C29D631" w14:textId="358FEC9A" w:rsidR="00BC23EC" w:rsidRDefault="00A2412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 w:rsidR="009F121B">
              <w:rPr>
                <w:rFonts w:ascii="Times New Roman" w:hAnsi="Times New Roman"/>
                <w:sz w:val="24"/>
              </w:rPr>
              <w:t xml:space="preserve">. Замечание </w:t>
            </w:r>
            <w:r w:rsidR="005B7126">
              <w:rPr>
                <w:rFonts w:ascii="Times New Roman" w:hAnsi="Times New Roman"/>
                <w:sz w:val="24"/>
              </w:rPr>
              <w:t>не</w:t>
            </w:r>
            <w:r w:rsidR="005B7126">
              <w:rPr>
                <w:rFonts w:ascii="Times New Roman" w:hAnsi="Times New Roman"/>
                <w:sz w:val="24"/>
              </w:rPr>
              <w:t xml:space="preserve"> </w:t>
            </w:r>
            <w:r w:rsidR="009F121B">
              <w:rPr>
                <w:rFonts w:ascii="Times New Roman" w:hAnsi="Times New Roman"/>
                <w:sz w:val="24"/>
              </w:rPr>
              <w:t xml:space="preserve">учтено. </w:t>
            </w:r>
          </w:p>
          <w:p w14:paraId="1C0AF75C" w14:textId="2105F0E7" w:rsidR="00BC23EC" w:rsidRDefault="00BC23E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015E" w14:paraId="717E9D8B" w14:textId="77777777" w:rsidTr="00BE68BC">
        <w:tc>
          <w:tcPr>
            <w:tcW w:w="5529" w:type="dxa"/>
          </w:tcPr>
          <w:p w14:paraId="34DDBD27" w14:textId="2D51AAF5" w:rsidR="00DA015E" w:rsidRDefault="00A2412F" w:rsidP="00DA01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DA015E" w:rsidRPr="00DA015E">
              <w:rPr>
                <w:rFonts w:ascii="Times New Roman" w:hAnsi="Times New Roman"/>
                <w:sz w:val="24"/>
              </w:rPr>
              <w:t>.</w:t>
            </w:r>
            <w:r w:rsidR="00DA015E" w:rsidRPr="00DA015E">
              <w:rPr>
                <w:rFonts w:ascii="Times New Roman" w:hAnsi="Times New Roman"/>
                <w:sz w:val="24"/>
              </w:rPr>
              <w:tab/>
              <w:t>Согласно Приложени</w:t>
            </w:r>
            <w:r w:rsidR="00B55D65">
              <w:rPr>
                <w:rFonts w:ascii="Times New Roman" w:hAnsi="Times New Roman"/>
                <w:sz w:val="24"/>
              </w:rPr>
              <w:t>ю</w:t>
            </w:r>
            <w:r w:rsidR="00DA015E" w:rsidRPr="00DA015E">
              <w:rPr>
                <w:rFonts w:ascii="Times New Roman" w:hAnsi="Times New Roman"/>
                <w:sz w:val="24"/>
              </w:rPr>
              <w:t xml:space="preserve"> №3 ОАО «СКЭК» еще на стадии планирования заключения Соглашения, не смотря на включение выпадающих доходов за предыдущие периоды регулирования и значительный рост единых (котловых) тарифов уже закладывает возникновение выпадающих доходов, тем самым заведомо прогнозирует недорегулирование со стороны РЭК Кузбасса без экономического обоснования причин возникновения.</w:t>
            </w:r>
          </w:p>
        </w:tc>
        <w:tc>
          <w:tcPr>
            <w:tcW w:w="3821" w:type="dxa"/>
          </w:tcPr>
          <w:p w14:paraId="39AE5EFB" w14:textId="2C639B11" w:rsidR="00DA015E" w:rsidRDefault="00A2412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8044F" w:rsidRPr="00E8044F">
              <w:rPr>
                <w:rFonts w:ascii="Times New Roman" w:hAnsi="Times New Roman"/>
                <w:sz w:val="24"/>
              </w:rPr>
              <w:t xml:space="preserve">. Замечание </w:t>
            </w:r>
            <w:r w:rsidR="005B7126">
              <w:rPr>
                <w:rFonts w:ascii="Times New Roman" w:hAnsi="Times New Roman"/>
                <w:sz w:val="24"/>
              </w:rPr>
              <w:t>не</w:t>
            </w:r>
            <w:r w:rsidR="005B7126" w:rsidRPr="00E8044F">
              <w:rPr>
                <w:rFonts w:ascii="Times New Roman" w:hAnsi="Times New Roman"/>
                <w:sz w:val="24"/>
              </w:rPr>
              <w:t xml:space="preserve"> </w:t>
            </w:r>
            <w:r w:rsidR="00E8044F" w:rsidRPr="00E8044F">
              <w:rPr>
                <w:rFonts w:ascii="Times New Roman" w:hAnsi="Times New Roman"/>
                <w:sz w:val="24"/>
              </w:rPr>
              <w:t>учтено.</w:t>
            </w:r>
          </w:p>
        </w:tc>
      </w:tr>
    </w:tbl>
    <w:p w14:paraId="4B0D231E" w14:textId="77777777" w:rsidR="00BC23EC" w:rsidRDefault="00BC23EC">
      <w:pPr>
        <w:ind w:left="708"/>
        <w:jc w:val="both"/>
        <w:rPr>
          <w:rFonts w:ascii="Times New Roman" w:hAnsi="Times New Roman"/>
          <w:sz w:val="24"/>
        </w:rPr>
      </w:pPr>
    </w:p>
    <w:sectPr w:rsidR="00BC23EC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1957" w14:textId="77777777" w:rsidR="009B46EF" w:rsidRDefault="009B46EF">
      <w:pPr>
        <w:spacing w:after="0" w:line="240" w:lineRule="auto"/>
      </w:pPr>
      <w:r>
        <w:separator/>
      </w:r>
    </w:p>
  </w:endnote>
  <w:endnote w:type="continuationSeparator" w:id="0">
    <w:p w14:paraId="4216914E" w14:textId="77777777" w:rsidR="009B46EF" w:rsidRDefault="009B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1DE7" w14:textId="77777777" w:rsidR="009B46EF" w:rsidRDefault="009B46EF">
      <w:pPr>
        <w:spacing w:after="0" w:line="240" w:lineRule="auto"/>
      </w:pPr>
      <w:r>
        <w:separator/>
      </w:r>
    </w:p>
  </w:footnote>
  <w:footnote w:type="continuationSeparator" w:id="0">
    <w:p w14:paraId="3EE65C55" w14:textId="77777777" w:rsidR="009B46EF" w:rsidRDefault="009B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CD86" w14:textId="77777777" w:rsidR="00BC23EC" w:rsidRDefault="009F121B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B121C5">
      <w:rPr>
        <w:noProof/>
      </w:rPr>
      <w:t>2</w:t>
    </w:r>
    <w:r>
      <w:fldChar w:fldCharType="end"/>
    </w:r>
  </w:p>
  <w:p w14:paraId="17A17E01" w14:textId="77777777" w:rsidR="00BC23EC" w:rsidRDefault="00BC23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DFF"/>
    <w:multiLevelType w:val="multilevel"/>
    <w:tmpl w:val="AA0043E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314D15"/>
    <w:multiLevelType w:val="multilevel"/>
    <w:tmpl w:val="AA0043E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2001158621">
    <w:abstractNumId w:val="1"/>
  </w:num>
  <w:num w:numId="2" w16cid:durableId="202363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3EC"/>
    <w:rsid w:val="000E4553"/>
    <w:rsid w:val="00104BAD"/>
    <w:rsid w:val="003A6800"/>
    <w:rsid w:val="005B7126"/>
    <w:rsid w:val="009B46EF"/>
    <w:rsid w:val="009F121B"/>
    <w:rsid w:val="00A2412F"/>
    <w:rsid w:val="00B121C5"/>
    <w:rsid w:val="00B55D65"/>
    <w:rsid w:val="00BC23EC"/>
    <w:rsid w:val="00BE68BC"/>
    <w:rsid w:val="00D43E14"/>
    <w:rsid w:val="00DA015E"/>
    <w:rsid w:val="00E73BB6"/>
    <w:rsid w:val="00E8044F"/>
    <w:rsid w:val="00E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E63A"/>
  <w15:docId w15:val="{E5E978E4-B6D7-4A37-8D6E-AEC1AC6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FollowedHyperlink"/>
    <w:basedOn w:val="a0"/>
    <w:uiPriority w:val="99"/>
    <w:semiHidden/>
    <w:unhideWhenUsed/>
    <w:rsid w:val="00B121C5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B12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Иванов</dc:creator>
  <cp:lastModifiedBy>Александр Иванов</cp:lastModifiedBy>
  <cp:revision>2</cp:revision>
  <cp:lastPrinted>2026-07-07T10:20:00Z</cp:lastPrinted>
  <dcterms:created xsi:type="dcterms:W3CDTF">2026-07-07T10:34:00Z</dcterms:created>
  <dcterms:modified xsi:type="dcterms:W3CDTF">2026-07-07T10:34:00Z</dcterms:modified>
</cp:coreProperties>
</file>