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91432" w:rsidRDefault="00F62605" w:rsidP="00C914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91432">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C91432" w:rsidRDefault="00F62605" w:rsidP="00C91432">
      <w:pPr>
        <w:spacing w:after="0" w:line="240" w:lineRule="auto"/>
        <w:jc w:val="center"/>
        <w:rPr>
          <w:rFonts w:ascii="Times New Roman" w:hAnsi="Times New Roman" w:cs="Times New Roman"/>
          <w:b/>
          <w:bCs/>
          <w:kern w:val="32"/>
          <w:sz w:val="28"/>
          <w:szCs w:val="28"/>
        </w:rPr>
      </w:pPr>
      <w:r w:rsidRPr="00C91432">
        <w:rPr>
          <w:rFonts w:ascii="Times New Roman" w:eastAsia="Times New Roman" w:hAnsi="Times New Roman" w:cs="Times New Roman"/>
          <w:b/>
          <w:bCs/>
          <w:kern w:val="32"/>
          <w:sz w:val="28"/>
          <w:szCs w:val="28"/>
          <w:lang w:eastAsia="ru-RU"/>
        </w:rPr>
        <w:t>«</w:t>
      </w:r>
      <w:r w:rsidR="00C91432" w:rsidRPr="00C91432">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05.06.2018 № 100 </w:t>
      </w:r>
    </w:p>
    <w:p w:rsidR="00C91432" w:rsidRDefault="00C91432" w:rsidP="00C91432">
      <w:pPr>
        <w:spacing w:after="0" w:line="240" w:lineRule="auto"/>
        <w:jc w:val="center"/>
        <w:rPr>
          <w:rFonts w:ascii="Times New Roman" w:hAnsi="Times New Roman" w:cs="Times New Roman"/>
          <w:b/>
          <w:bCs/>
          <w:kern w:val="32"/>
          <w:sz w:val="28"/>
          <w:szCs w:val="28"/>
        </w:rPr>
      </w:pPr>
      <w:r w:rsidRPr="00C91432">
        <w:rPr>
          <w:rFonts w:ascii="Times New Roman" w:hAnsi="Times New Roman" w:cs="Times New Roman"/>
          <w:b/>
          <w:bCs/>
          <w:kern w:val="32"/>
          <w:sz w:val="28"/>
          <w:szCs w:val="28"/>
        </w:rPr>
        <w:t xml:space="preserve">«Об утверждении производственной программы в области </w:t>
      </w:r>
    </w:p>
    <w:p w:rsidR="00C91432" w:rsidRDefault="00C91432" w:rsidP="00C91432">
      <w:pPr>
        <w:spacing w:after="0" w:line="240" w:lineRule="auto"/>
        <w:jc w:val="center"/>
        <w:rPr>
          <w:rFonts w:ascii="Times New Roman" w:hAnsi="Times New Roman" w:cs="Times New Roman"/>
          <w:b/>
          <w:bCs/>
          <w:kern w:val="32"/>
          <w:sz w:val="28"/>
          <w:szCs w:val="28"/>
        </w:rPr>
      </w:pPr>
      <w:r w:rsidRPr="00C91432">
        <w:rPr>
          <w:rFonts w:ascii="Times New Roman" w:hAnsi="Times New Roman" w:cs="Times New Roman"/>
          <w:b/>
          <w:bCs/>
          <w:kern w:val="32"/>
          <w:sz w:val="28"/>
          <w:szCs w:val="28"/>
        </w:rPr>
        <w:t xml:space="preserve">обращения с твердыми коммунальными отходами и об утверждении </w:t>
      </w:r>
    </w:p>
    <w:p w:rsidR="00C91432" w:rsidRPr="00C91432" w:rsidRDefault="00C91432" w:rsidP="00C91432">
      <w:pPr>
        <w:spacing w:after="0" w:line="240" w:lineRule="auto"/>
        <w:jc w:val="center"/>
        <w:rPr>
          <w:rFonts w:ascii="Times New Roman" w:hAnsi="Times New Roman" w:cs="Times New Roman"/>
          <w:b/>
          <w:bCs/>
          <w:kern w:val="32"/>
          <w:sz w:val="28"/>
          <w:szCs w:val="28"/>
        </w:rPr>
      </w:pPr>
      <w:r w:rsidRPr="00C91432">
        <w:rPr>
          <w:rFonts w:ascii="Times New Roman" w:hAnsi="Times New Roman" w:cs="Times New Roman"/>
          <w:b/>
          <w:bCs/>
          <w:kern w:val="32"/>
          <w:sz w:val="28"/>
          <w:szCs w:val="28"/>
        </w:rPr>
        <w:t>единых тарифов на услугу регионального оператора</w:t>
      </w:r>
    </w:p>
    <w:p w:rsidR="00C91432" w:rsidRPr="00C91432" w:rsidRDefault="00C91432" w:rsidP="00C91432">
      <w:pPr>
        <w:spacing w:after="0" w:line="240" w:lineRule="auto"/>
        <w:jc w:val="center"/>
        <w:rPr>
          <w:rFonts w:ascii="Times New Roman" w:hAnsi="Times New Roman" w:cs="Times New Roman"/>
          <w:b/>
          <w:bCs/>
          <w:kern w:val="32"/>
          <w:sz w:val="28"/>
          <w:szCs w:val="28"/>
        </w:rPr>
      </w:pPr>
      <w:r w:rsidRPr="00C91432">
        <w:rPr>
          <w:rFonts w:ascii="Times New Roman" w:hAnsi="Times New Roman" w:cs="Times New Roman"/>
          <w:b/>
          <w:bCs/>
          <w:kern w:val="32"/>
          <w:sz w:val="28"/>
          <w:szCs w:val="28"/>
        </w:rPr>
        <w:t>по обращению с твердыми коммунальными отходами</w:t>
      </w:r>
    </w:p>
    <w:p w:rsidR="00F62605" w:rsidRPr="00C91432" w:rsidRDefault="00C91432" w:rsidP="00C91432">
      <w:pPr>
        <w:spacing w:after="0" w:line="240" w:lineRule="auto"/>
        <w:jc w:val="center"/>
        <w:rPr>
          <w:rFonts w:ascii="Times New Roman" w:eastAsia="Times New Roman" w:hAnsi="Times New Roman" w:cs="Times New Roman"/>
          <w:b/>
          <w:bCs/>
          <w:color w:val="000000"/>
          <w:kern w:val="32"/>
          <w:sz w:val="28"/>
          <w:szCs w:val="28"/>
          <w:lang w:eastAsia="ru-RU"/>
        </w:rPr>
      </w:pPr>
      <w:r w:rsidRPr="00C91432">
        <w:rPr>
          <w:rFonts w:ascii="Times New Roman" w:hAnsi="Times New Roman" w:cs="Times New Roman"/>
          <w:b/>
          <w:bCs/>
          <w:kern w:val="32"/>
          <w:sz w:val="28"/>
          <w:szCs w:val="28"/>
        </w:rPr>
        <w:t>ООО «Экологические технологии» в части 2019 года</w:t>
      </w:r>
      <w:r w:rsidR="00F62605" w:rsidRPr="00C91432">
        <w:rPr>
          <w:rFonts w:ascii="Times New Roman" w:eastAsia="Times New Roman" w:hAnsi="Times New Roman" w:cs="Times New Roman"/>
          <w:b/>
          <w:bCs/>
          <w:color w:val="000000"/>
          <w:kern w:val="32"/>
          <w:sz w:val="28"/>
          <w:szCs w:val="28"/>
          <w:lang w:eastAsia="ru-RU"/>
        </w:rPr>
        <w:t>»</w:t>
      </w:r>
    </w:p>
    <w:p w:rsidR="00F62605" w:rsidRPr="00C91432"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EC390B"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9841B7">
        <w:rPr>
          <w:rFonts w:ascii="Times New Roman" w:eastAsia="Times New Roman" w:hAnsi="Times New Roman" w:cs="Times New Roman"/>
          <w:bCs/>
          <w:kern w:val="32"/>
          <w:sz w:val="28"/>
          <w:szCs w:val="28"/>
          <w:lang w:eastAsia="ru-RU"/>
        </w:rPr>
        <w:t xml:space="preserve">рассмотрено </w:t>
      </w:r>
      <w:r w:rsidR="00F62605" w:rsidRPr="00EC390B">
        <w:rPr>
          <w:rFonts w:ascii="Times New Roman" w:eastAsia="Times New Roman" w:hAnsi="Times New Roman" w:cs="Times New Roman"/>
          <w:bCs/>
          <w:kern w:val="32"/>
          <w:sz w:val="28"/>
          <w:szCs w:val="28"/>
          <w:lang w:eastAsia="ru-RU"/>
        </w:rPr>
        <w:t xml:space="preserve">заявление </w:t>
      </w:r>
      <w:r w:rsidR="00EC390B" w:rsidRPr="00EC390B">
        <w:rPr>
          <w:rFonts w:ascii="Times New Roman" w:hAnsi="Times New Roman" w:cs="Times New Roman"/>
          <w:bCs/>
          <w:kern w:val="32"/>
          <w:sz w:val="28"/>
          <w:szCs w:val="28"/>
        </w:rPr>
        <w:t>ООО «Экологические технологии»</w:t>
      </w:r>
      <w:r w:rsidR="00862BA7" w:rsidRPr="00EC390B">
        <w:rPr>
          <w:rFonts w:ascii="Times New Roman" w:hAnsi="Times New Roman" w:cs="Times New Roman"/>
          <w:bCs/>
          <w:color w:val="000000"/>
          <w:kern w:val="32"/>
          <w:sz w:val="28"/>
          <w:szCs w:val="28"/>
        </w:rPr>
        <w:t>.</w:t>
      </w:r>
      <w:r w:rsidR="00F62605" w:rsidRPr="00EC390B">
        <w:rPr>
          <w:rFonts w:ascii="Times New Roman" w:hAnsi="Times New Roman" w:cs="Times New Roman"/>
          <w:sz w:val="28"/>
          <w:szCs w:val="28"/>
        </w:rPr>
        <w:t xml:space="preserve"> </w:t>
      </w:r>
    </w:p>
    <w:p w:rsidR="00F62605" w:rsidRPr="006A6BB0" w:rsidRDefault="00F62605" w:rsidP="00C57947">
      <w:pPr>
        <w:spacing w:after="0" w:line="240" w:lineRule="auto"/>
        <w:ind w:firstLine="567"/>
        <w:jc w:val="both"/>
        <w:rPr>
          <w:rFonts w:ascii="Times New Roman" w:hAnsi="Times New Roman" w:cs="Times New Roman"/>
          <w:b/>
          <w:sz w:val="28"/>
          <w:szCs w:val="28"/>
        </w:rPr>
      </w:pPr>
      <w:r w:rsidRPr="006A6BB0">
        <w:rPr>
          <w:rFonts w:ascii="Times New Roman" w:hAnsi="Times New Roman" w:cs="Times New Roman"/>
          <w:b/>
          <w:sz w:val="28"/>
          <w:szCs w:val="28"/>
        </w:rPr>
        <w:t xml:space="preserve">Цели предлагаемого нормативного правового акта: </w:t>
      </w:r>
    </w:p>
    <w:p w:rsidR="006A6BB0" w:rsidRPr="006A6BB0" w:rsidRDefault="006A6BB0" w:rsidP="006A6BB0">
      <w:pPr>
        <w:ind w:firstLine="567"/>
        <w:jc w:val="both"/>
        <w:rPr>
          <w:rFonts w:ascii="Times New Roman" w:hAnsi="Times New Roman" w:cs="Times New Roman"/>
          <w:bCs/>
          <w:kern w:val="32"/>
          <w:sz w:val="28"/>
          <w:szCs w:val="28"/>
        </w:rPr>
      </w:pPr>
      <w:r w:rsidRPr="006A6BB0">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постановления региональной энергетической комиссии Кемеровской области                         от 26.07.2018 № 163) следующие изменения:</w:t>
      </w:r>
    </w:p>
    <w:p w:rsidR="006A6BB0" w:rsidRPr="006A6BB0" w:rsidRDefault="006A6BB0" w:rsidP="006A6BB0">
      <w:pPr>
        <w:spacing w:after="0" w:line="240" w:lineRule="auto"/>
        <w:ind w:firstLine="709"/>
        <w:jc w:val="both"/>
        <w:rPr>
          <w:rFonts w:ascii="Times New Roman" w:hAnsi="Times New Roman" w:cs="Times New Roman"/>
          <w:bCs/>
          <w:kern w:val="32"/>
          <w:sz w:val="28"/>
          <w:szCs w:val="28"/>
        </w:rPr>
      </w:pPr>
      <w:r w:rsidRPr="006A6BB0">
        <w:rPr>
          <w:rFonts w:ascii="Times New Roman" w:hAnsi="Times New Roman" w:cs="Times New Roman"/>
          <w:bCs/>
          <w:kern w:val="32"/>
          <w:sz w:val="28"/>
          <w:szCs w:val="28"/>
        </w:rPr>
        <w:lastRenderedPageBreak/>
        <w:t>1.1. Таблицу раздела 4 приложения № 1 изложить в новой редакции:</w:t>
      </w:r>
    </w:p>
    <w:p w:rsidR="006A6BB0" w:rsidRPr="006A6BB0" w:rsidRDefault="006A6BB0" w:rsidP="006A6BB0">
      <w:pPr>
        <w:spacing w:after="0" w:line="240" w:lineRule="auto"/>
        <w:ind w:firstLine="709"/>
        <w:jc w:val="both"/>
        <w:rPr>
          <w:rFonts w:ascii="Times New Roman" w:hAnsi="Times New Roman" w:cs="Times New Roman"/>
          <w:bCs/>
          <w:kern w:val="32"/>
          <w:sz w:val="28"/>
          <w:szCs w:val="28"/>
        </w:rPr>
      </w:pPr>
      <w:r w:rsidRPr="006A6BB0">
        <w:rPr>
          <w:rFonts w:ascii="Times New Roman" w:hAnsi="Times New Roman" w:cs="Times New Roman"/>
          <w:bCs/>
          <w:kern w:val="32"/>
          <w:sz w:val="28"/>
          <w:szCs w:val="28"/>
        </w:rPr>
        <w:t>«</w:t>
      </w:r>
    </w:p>
    <w:tbl>
      <w:tblPr>
        <w:tblStyle w:val="a5"/>
        <w:tblpPr w:leftFromText="180" w:rightFromText="180" w:vertAnchor="text" w:horzAnchor="margin" w:tblpXSpec="center" w:tblpY="127"/>
        <w:tblW w:w="11057" w:type="dxa"/>
        <w:tblLayout w:type="fixed"/>
        <w:tblLook w:val="04A0" w:firstRow="1" w:lastRow="0" w:firstColumn="1" w:lastColumn="0" w:noHBand="0" w:noVBand="1"/>
      </w:tblPr>
      <w:tblGrid>
        <w:gridCol w:w="2552"/>
        <w:gridCol w:w="1135"/>
        <w:gridCol w:w="1275"/>
        <w:gridCol w:w="1276"/>
        <w:gridCol w:w="1275"/>
        <w:gridCol w:w="1135"/>
        <w:gridCol w:w="1276"/>
        <w:gridCol w:w="1133"/>
      </w:tblGrid>
      <w:tr w:rsidR="006A6BB0" w:rsidRPr="006A6BB0" w:rsidTr="006A6BB0">
        <w:tc>
          <w:tcPr>
            <w:tcW w:w="2552" w:type="dxa"/>
            <w:vMerge w:val="restart"/>
            <w:vAlign w:val="center"/>
          </w:tcPr>
          <w:p w:rsidR="006A6BB0" w:rsidRPr="006A6BB0" w:rsidRDefault="006A6BB0" w:rsidP="006A6BB0">
            <w:pPr>
              <w:jc w:val="center"/>
              <w:rPr>
                <w:bCs/>
                <w:color w:val="000000"/>
                <w:szCs w:val="28"/>
              </w:rPr>
            </w:pPr>
            <w:r w:rsidRPr="006A6BB0">
              <w:rPr>
                <w:bCs/>
                <w:color w:val="000000"/>
                <w:szCs w:val="28"/>
              </w:rPr>
              <w:t>Наименование показателя</w:t>
            </w:r>
          </w:p>
        </w:tc>
        <w:tc>
          <w:tcPr>
            <w:tcW w:w="1135" w:type="dxa"/>
            <w:vAlign w:val="center"/>
          </w:tcPr>
          <w:p w:rsidR="006A6BB0" w:rsidRPr="006A6BB0" w:rsidRDefault="006A6BB0" w:rsidP="006A6BB0">
            <w:pPr>
              <w:jc w:val="center"/>
              <w:rPr>
                <w:bCs/>
                <w:color w:val="000000"/>
                <w:szCs w:val="28"/>
              </w:rPr>
            </w:pPr>
            <w:r w:rsidRPr="006A6BB0">
              <w:rPr>
                <w:bCs/>
                <w:color w:val="000000"/>
                <w:szCs w:val="28"/>
              </w:rPr>
              <w:t>2018 год</w:t>
            </w:r>
          </w:p>
        </w:tc>
        <w:tc>
          <w:tcPr>
            <w:tcW w:w="2551" w:type="dxa"/>
            <w:gridSpan w:val="2"/>
            <w:vAlign w:val="center"/>
          </w:tcPr>
          <w:p w:rsidR="006A6BB0" w:rsidRPr="006A6BB0" w:rsidRDefault="006A6BB0" w:rsidP="006A6BB0">
            <w:pPr>
              <w:jc w:val="center"/>
              <w:rPr>
                <w:bCs/>
                <w:color w:val="000000"/>
                <w:szCs w:val="28"/>
              </w:rPr>
            </w:pPr>
            <w:r w:rsidRPr="006A6BB0">
              <w:rPr>
                <w:bCs/>
                <w:color w:val="000000"/>
                <w:szCs w:val="28"/>
              </w:rPr>
              <w:t>2019 год</w:t>
            </w:r>
          </w:p>
        </w:tc>
        <w:tc>
          <w:tcPr>
            <w:tcW w:w="2410" w:type="dxa"/>
            <w:gridSpan w:val="2"/>
            <w:vAlign w:val="center"/>
          </w:tcPr>
          <w:p w:rsidR="006A6BB0" w:rsidRPr="006A6BB0" w:rsidRDefault="006A6BB0" w:rsidP="006A6BB0">
            <w:pPr>
              <w:jc w:val="center"/>
              <w:rPr>
                <w:bCs/>
                <w:color w:val="000000"/>
                <w:szCs w:val="28"/>
              </w:rPr>
            </w:pPr>
            <w:r w:rsidRPr="006A6BB0">
              <w:rPr>
                <w:bCs/>
                <w:color w:val="000000"/>
                <w:szCs w:val="28"/>
              </w:rPr>
              <w:t>2020 год</w:t>
            </w:r>
          </w:p>
        </w:tc>
        <w:tc>
          <w:tcPr>
            <w:tcW w:w="2409" w:type="dxa"/>
            <w:gridSpan w:val="2"/>
            <w:vAlign w:val="center"/>
          </w:tcPr>
          <w:p w:rsidR="006A6BB0" w:rsidRPr="006A6BB0" w:rsidRDefault="006A6BB0" w:rsidP="006A6BB0">
            <w:pPr>
              <w:jc w:val="center"/>
              <w:rPr>
                <w:bCs/>
                <w:color w:val="000000"/>
                <w:szCs w:val="28"/>
              </w:rPr>
            </w:pPr>
            <w:r w:rsidRPr="006A6BB0">
              <w:rPr>
                <w:bCs/>
                <w:color w:val="000000"/>
                <w:szCs w:val="28"/>
              </w:rPr>
              <w:t>2021 год</w:t>
            </w:r>
          </w:p>
        </w:tc>
      </w:tr>
      <w:tr w:rsidR="006A6BB0" w:rsidRPr="006A6BB0" w:rsidTr="006A6BB0">
        <w:trPr>
          <w:trHeight w:val="554"/>
        </w:trPr>
        <w:tc>
          <w:tcPr>
            <w:tcW w:w="2552" w:type="dxa"/>
            <w:vMerge/>
          </w:tcPr>
          <w:p w:rsidR="006A6BB0" w:rsidRPr="006A6BB0" w:rsidRDefault="006A6BB0" w:rsidP="006A6BB0">
            <w:pPr>
              <w:jc w:val="center"/>
              <w:rPr>
                <w:bCs/>
                <w:color w:val="000000"/>
                <w:szCs w:val="28"/>
              </w:rPr>
            </w:pPr>
          </w:p>
        </w:tc>
        <w:tc>
          <w:tcPr>
            <w:tcW w:w="1135" w:type="dxa"/>
            <w:vAlign w:val="center"/>
          </w:tcPr>
          <w:p w:rsidR="006A6BB0" w:rsidRPr="006A6BB0" w:rsidRDefault="006A6BB0" w:rsidP="006A6BB0">
            <w:pPr>
              <w:jc w:val="center"/>
            </w:pPr>
            <w:r w:rsidRPr="006A6BB0">
              <w:t xml:space="preserve">с 01.07.    </w:t>
            </w:r>
          </w:p>
          <w:p w:rsidR="006A6BB0" w:rsidRPr="006A6BB0" w:rsidRDefault="006A6BB0" w:rsidP="006A6BB0">
            <w:pPr>
              <w:jc w:val="center"/>
              <w:rPr>
                <w:bCs/>
                <w:color w:val="000000"/>
              </w:rPr>
            </w:pPr>
            <w:r w:rsidRPr="006A6BB0">
              <w:t>по 31.12.</w:t>
            </w:r>
          </w:p>
        </w:tc>
        <w:tc>
          <w:tcPr>
            <w:tcW w:w="1275" w:type="dxa"/>
            <w:vAlign w:val="center"/>
          </w:tcPr>
          <w:p w:rsidR="006A6BB0" w:rsidRPr="006A6BB0" w:rsidRDefault="006A6BB0" w:rsidP="006A6BB0">
            <w:pPr>
              <w:jc w:val="center"/>
            </w:pPr>
            <w:r w:rsidRPr="006A6BB0">
              <w:t>с 01.01.</w:t>
            </w:r>
          </w:p>
          <w:p w:rsidR="006A6BB0" w:rsidRPr="006A6BB0" w:rsidRDefault="006A6BB0" w:rsidP="006A6BB0">
            <w:pPr>
              <w:jc w:val="center"/>
            </w:pPr>
            <w:r w:rsidRPr="006A6BB0">
              <w:t xml:space="preserve"> по 30.06.</w:t>
            </w:r>
          </w:p>
        </w:tc>
        <w:tc>
          <w:tcPr>
            <w:tcW w:w="1276" w:type="dxa"/>
            <w:vAlign w:val="center"/>
          </w:tcPr>
          <w:p w:rsidR="006A6BB0" w:rsidRPr="006A6BB0" w:rsidRDefault="006A6BB0" w:rsidP="006A6BB0">
            <w:pPr>
              <w:jc w:val="center"/>
            </w:pPr>
            <w:r w:rsidRPr="006A6BB0">
              <w:t xml:space="preserve">с 01.07.    </w:t>
            </w:r>
          </w:p>
          <w:p w:rsidR="006A6BB0" w:rsidRPr="006A6BB0" w:rsidRDefault="006A6BB0" w:rsidP="006A6BB0">
            <w:pPr>
              <w:jc w:val="center"/>
              <w:rPr>
                <w:bCs/>
                <w:color w:val="000000"/>
              </w:rPr>
            </w:pPr>
            <w:r w:rsidRPr="006A6BB0">
              <w:t>по 31.12.</w:t>
            </w:r>
          </w:p>
        </w:tc>
        <w:tc>
          <w:tcPr>
            <w:tcW w:w="1275" w:type="dxa"/>
            <w:vAlign w:val="center"/>
          </w:tcPr>
          <w:p w:rsidR="006A6BB0" w:rsidRPr="006A6BB0" w:rsidRDefault="006A6BB0" w:rsidP="006A6BB0">
            <w:pPr>
              <w:jc w:val="center"/>
            </w:pPr>
            <w:r w:rsidRPr="006A6BB0">
              <w:t xml:space="preserve">с 01.01.    </w:t>
            </w:r>
          </w:p>
          <w:p w:rsidR="006A6BB0" w:rsidRPr="006A6BB0" w:rsidRDefault="006A6BB0" w:rsidP="006A6BB0">
            <w:pPr>
              <w:jc w:val="center"/>
            </w:pPr>
            <w:r w:rsidRPr="006A6BB0">
              <w:t>по 30.06.</w:t>
            </w:r>
          </w:p>
        </w:tc>
        <w:tc>
          <w:tcPr>
            <w:tcW w:w="1135" w:type="dxa"/>
            <w:vAlign w:val="center"/>
          </w:tcPr>
          <w:p w:rsidR="006A6BB0" w:rsidRPr="006A6BB0" w:rsidRDefault="006A6BB0" w:rsidP="006A6BB0">
            <w:pPr>
              <w:jc w:val="center"/>
              <w:rPr>
                <w:bCs/>
                <w:color w:val="000000"/>
              </w:rPr>
            </w:pPr>
            <w:r w:rsidRPr="006A6BB0">
              <w:t>с 01.07.     по 31.12.</w:t>
            </w:r>
          </w:p>
        </w:tc>
        <w:tc>
          <w:tcPr>
            <w:tcW w:w="1276" w:type="dxa"/>
            <w:vAlign w:val="center"/>
          </w:tcPr>
          <w:p w:rsidR="006A6BB0" w:rsidRPr="006A6BB0" w:rsidRDefault="006A6BB0" w:rsidP="006A6BB0">
            <w:pPr>
              <w:jc w:val="center"/>
            </w:pPr>
            <w:r w:rsidRPr="006A6BB0">
              <w:t xml:space="preserve">с 01.01.    </w:t>
            </w:r>
          </w:p>
          <w:p w:rsidR="006A6BB0" w:rsidRPr="006A6BB0" w:rsidRDefault="006A6BB0" w:rsidP="006A6BB0">
            <w:pPr>
              <w:jc w:val="center"/>
            </w:pPr>
            <w:r w:rsidRPr="006A6BB0">
              <w:t>по 30.06.</w:t>
            </w:r>
          </w:p>
        </w:tc>
        <w:tc>
          <w:tcPr>
            <w:tcW w:w="1133" w:type="dxa"/>
            <w:vAlign w:val="center"/>
          </w:tcPr>
          <w:p w:rsidR="006A6BB0" w:rsidRPr="006A6BB0" w:rsidRDefault="006A6BB0" w:rsidP="006A6BB0">
            <w:pPr>
              <w:jc w:val="center"/>
              <w:rPr>
                <w:bCs/>
                <w:color w:val="000000"/>
              </w:rPr>
            </w:pPr>
            <w:r w:rsidRPr="006A6BB0">
              <w:t>с 01.07.     по 31.12.</w:t>
            </w:r>
          </w:p>
        </w:tc>
      </w:tr>
      <w:tr w:rsidR="006A6BB0" w:rsidRPr="006A6BB0" w:rsidTr="006A6BB0">
        <w:tc>
          <w:tcPr>
            <w:tcW w:w="2552" w:type="dxa"/>
          </w:tcPr>
          <w:p w:rsidR="006A6BB0" w:rsidRPr="006A6BB0" w:rsidRDefault="006A6BB0" w:rsidP="006A6BB0">
            <w:pPr>
              <w:jc w:val="center"/>
              <w:rPr>
                <w:bCs/>
                <w:color w:val="000000"/>
                <w:szCs w:val="28"/>
              </w:rPr>
            </w:pPr>
            <w:r w:rsidRPr="006A6BB0">
              <w:rPr>
                <w:bCs/>
                <w:color w:val="000000"/>
                <w:szCs w:val="28"/>
              </w:rPr>
              <w:t>1</w:t>
            </w:r>
          </w:p>
        </w:tc>
        <w:tc>
          <w:tcPr>
            <w:tcW w:w="1135" w:type="dxa"/>
          </w:tcPr>
          <w:p w:rsidR="006A6BB0" w:rsidRPr="006A6BB0" w:rsidRDefault="006A6BB0" w:rsidP="006A6BB0">
            <w:pPr>
              <w:jc w:val="center"/>
              <w:rPr>
                <w:bCs/>
                <w:color w:val="000000"/>
                <w:szCs w:val="28"/>
              </w:rPr>
            </w:pPr>
            <w:r w:rsidRPr="006A6BB0">
              <w:rPr>
                <w:bCs/>
                <w:color w:val="000000"/>
                <w:szCs w:val="28"/>
              </w:rPr>
              <w:t>2</w:t>
            </w:r>
          </w:p>
        </w:tc>
        <w:tc>
          <w:tcPr>
            <w:tcW w:w="1275" w:type="dxa"/>
          </w:tcPr>
          <w:p w:rsidR="006A6BB0" w:rsidRPr="006A6BB0" w:rsidRDefault="006A6BB0" w:rsidP="006A6BB0">
            <w:pPr>
              <w:jc w:val="center"/>
              <w:rPr>
                <w:bCs/>
                <w:color w:val="000000"/>
                <w:szCs w:val="28"/>
              </w:rPr>
            </w:pPr>
            <w:r w:rsidRPr="006A6BB0">
              <w:rPr>
                <w:bCs/>
                <w:color w:val="000000"/>
                <w:szCs w:val="28"/>
              </w:rPr>
              <w:t>3</w:t>
            </w:r>
          </w:p>
        </w:tc>
        <w:tc>
          <w:tcPr>
            <w:tcW w:w="1276" w:type="dxa"/>
          </w:tcPr>
          <w:p w:rsidR="006A6BB0" w:rsidRPr="006A6BB0" w:rsidRDefault="006A6BB0" w:rsidP="006A6BB0">
            <w:pPr>
              <w:jc w:val="center"/>
              <w:rPr>
                <w:bCs/>
                <w:color w:val="000000"/>
                <w:szCs w:val="28"/>
              </w:rPr>
            </w:pPr>
            <w:r w:rsidRPr="006A6BB0">
              <w:rPr>
                <w:bCs/>
                <w:color w:val="000000"/>
                <w:szCs w:val="28"/>
              </w:rPr>
              <w:t>4</w:t>
            </w:r>
          </w:p>
        </w:tc>
        <w:tc>
          <w:tcPr>
            <w:tcW w:w="1275" w:type="dxa"/>
          </w:tcPr>
          <w:p w:rsidR="006A6BB0" w:rsidRPr="006A6BB0" w:rsidRDefault="006A6BB0" w:rsidP="006A6BB0">
            <w:pPr>
              <w:jc w:val="center"/>
              <w:rPr>
                <w:bCs/>
                <w:color w:val="000000"/>
                <w:szCs w:val="28"/>
              </w:rPr>
            </w:pPr>
            <w:r w:rsidRPr="006A6BB0">
              <w:rPr>
                <w:bCs/>
                <w:color w:val="000000"/>
                <w:szCs w:val="28"/>
              </w:rPr>
              <w:t>5</w:t>
            </w:r>
          </w:p>
        </w:tc>
        <w:tc>
          <w:tcPr>
            <w:tcW w:w="1135" w:type="dxa"/>
          </w:tcPr>
          <w:p w:rsidR="006A6BB0" w:rsidRPr="006A6BB0" w:rsidRDefault="006A6BB0" w:rsidP="006A6BB0">
            <w:pPr>
              <w:jc w:val="center"/>
              <w:rPr>
                <w:bCs/>
                <w:color w:val="000000"/>
                <w:szCs w:val="28"/>
              </w:rPr>
            </w:pPr>
            <w:r w:rsidRPr="006A6BB0">
              <w:rPr>
                <w:bCs/>
                <w:color w:val="000000"/>
                <w:szCs w:val="28"/>
              </w:rPr>
              <w:t>6</w:t>
            </w:r>
          </w:p>
        </w:tc>
        <w:tc>
          <w:tcPr>
            <w:tcW w:w="1276" w:type="dxa"/>
          </w:tcPr>
          <w:p w:rsidR="006A6BB0" w:rsidRPr="006A6BB0" w:rsidRDefault="006A6BB0" w:rsidP="006A6BB0">
            <w:pPr>
              <w:jc w:val="center"/>
              <w:rPr>
                <w:bCs/>
                <w:color w:val="000000"/>
                <w:szCs w:val="28"/>
              </w:rPr>
            </w:pPr>
            <w:r w:rsidRPr="006A6BB0">
              <w:rPr>
                <w:bCs/>
                <w:color w:val="000000"/>
                <w:szCs w:val="28"/>
              </w:rPr>
              <w:t>7</w:t>
            </w:r>
          </w:p>
        </w:tc>
        <w:tc>
          <w:tcPr>
            <w:tcW w:w="1133" w:type="dxa"/>
          </w:tcPr>
          <w:p w:rsidR="006A6BB0" w:rsidRPr="006A6BB0" w:rsidRDefault="006A6BB0" w:rsidP="006A6BB0">
            <w:pPr>
              <w:jc w:val="center"/>
              <w:rPr>
                <w:bCs/>
                <w:color w:val="000000"/>
                <w:szCs w:val="28"/>
              </w:rPr>
            </w:pPr>
            <w:r w:rsidRPr="006A6BB0">
              <w:rPr>
                <w:bCs/>
                <w:color w:val="000000"/>
                <w:szCs w:val="28"/>
              </w:rPr>
              <w:t>8</w:t>
            </w:r>
          </w:p>
        </w:tc>
      </w:tr>
      <w:tr w:rsidR="006A6BB0" w:rsidRPr="006A6BB0" w:rsidTr="006A6BB0">
        <w:tc>
          <w:tcPr>
            <w:tcW w:w="2552" w:type="dxa"/>
            <w:vAlign w:val="center"/>
          </w:tcPr>
          <w:p w:rsidR="006A6BB0" w:rsidRPr="006A6BB0" w:rsidRDefault="006A6BB0" w:rsidP="006A6BB0">
            <w:pPr>
              <w:rPr>
                <w:bCs/>
                <w:color w:val="000000"/>
              </w:rPr>
            </w:pPr>
            <w:r w:rsidRPr="006A6BB0">
              <w:rPr>
                <w:bCs/>
                <w:color w:val="000000"/>
              </w:rPr>
              <w:t xml:space="preserve">Финансовые потребности, необходимые для реализации производственной программы </w:t>
            </w:r>
            <w:r w:rsidRPr="006A6BB0">
              <w:rPr>
                <w:bCs/>
                <w:kern w:val="32"/>
                <w:szCs w:val="28"/>
              </w:rPr>
              <w:t>в области обращения с твердыми коммунальными отходами</w:t>
            </w:r>
            <w:r w:rsidRPr="006A6BB0">
              <w:rPr>
                <w:bCs/>
                <w:color w:val="000000"/>
              </w:rPr>
              <w:t xml:space="preserve">, </w:t>
            </w:r>
          </w:p>
          <w:p w:rsidR="006A6BB0" w:rsidRPr="006A6BB0" w:rsidRDefault="006A6BB0" w:rsidP="006A6BB0">
            <w:pPr>
              <w:rPr>
                <w:bCs/>
                <w:color w:val="000000"/>
              </w:rPr>
            </w:pPr>
            <w:r w:rsidRPr="006A6BB0">
              <w:rPr>
                <w:bCs/>
                <w:color w:val="000000"/>
              </w:rPr>
              <w:t>тыс. руб.</w:t>
            </w:r>
          </w:p>
        </w:tc>
        <w:tc>
          <w:tcPr>
            <w:tcW w:w="1135" w:type="dxa"/>
            <w:vAlign w:val="center"/>
          </w:tcPr>
          <w:p w:rsidR="006A6BB0" w:rsidRPr="006A6BB0" w:rsidRDefault="006A6BB0" w:rsidP="006A6BB0">
            <w:pPr>
              <w:jc w:val="center"/>
              <w:rPr>
                <w:bCs/>
                <w:color w:val="FF0000"/>
                <w:szCs w:val="22"/>
              </w:rPr>
            </w:pPr>
            <w:r w:rsidRPr="006A6BB0">
              <w:rPr>
                <w:bCs/>
                <w:color w:val="000000" w:themeColor="text1"/>
                <w:szCs w:val="22"/>
              </w:rPr>
              <w:t>679948,35</w:t>
            </w:r>
          </w:p>
        </w:tc>
        <w:tc>
          <w:tcPr>
            <w:tcW w:w="1275" w:type="dxa"/>
            <w:vAlign w:val="center"/>
          </w:tcPr>
          <w:p w:rsidR="006A6BB0" w:rsidRPr="006A6BB0" w:rsidRDefault="006A6BB0" w:rsidP="006A6BB0">
            <w:pPr>
              <w:jc w:val="center"/>
              <w:rPr>
                <w:bCs/>
                <w:szCs w:val="22"/>
              </w:rPr>
            </w:pPr>
            <w:r w:rsidRPr="006A6BB0">
              <w:rPr>
                <w:bCs/>
                <w:szCs w:val="22"/>
              </w:rPr>
              <w:t>679986,34</w:t>
            </w:r>
          </w:p>
        </w:tc>
        <w:tc>
          <w:tcPr>
            <w:tcW w:w="1276" w:type="dxa"/>
            <w:vAlign w:val="center"/>
          </w:tcPr>
          <w:p w:rsidR="006A6BB0" w:rsidRPr="006A6BB0" w:rsidRDefault="006A6BB0" w:rsidP="006A6BB0">
            <w:pPr>
              <w:jc w:val="center"/>
              <w:rPr>
                <w:bCs/>
                <w:szCs w:val="22"/>
              </w:rPr>
            </w:pPr>
            <w:r w:rsidRPr="006A6BB0">
              <w:rPr>
                <w:bCs/>
                <w:szCs w:val="22"/>
              </w:rPr>
              <w:t>720336,56</w:t>
            </w:r>
          </w:p>
        </w:tc>
        <w:tc>
          <w:tcPr>
            <w:tcW w:w="1275" w:type="dxa"/>
            <w:vAlign w:val="center"/>
          </w:tcPr>
          <w:p w:rsidR="006A6BB0" w:rsidRPr="006A6BB0" w:rsidRDefault="006A6BB0" w:rsidP="006A6BB0">
            <w:pPr>
              <w:jc w:val="center"/>
              <w:rPr>
                <w:bCs/>
                <w:color w:val="000000" w:themeColor="text1"/>
                <w:szCs w:val="22"/>
              </w:rPr>
            </w:pPr>
            <w:r w:rsidRPr="006A6BB0">
              <w:rPr>
                <w:bCs/>
                <w:color w:val="000000" w:themeColor="text1"/>
                <w:szCs w:val="22"/>
              </w:rPr>
              <w:t>720298,58</w:t>
            </w:r>
          </w:p>
        </w:tc>
        <w:tc>
          <w:tcPr>
            <w:tcW w:w="1135" w:type="dxa"/>
            <w:vAlign w:val="center"/>
          </w:tcPr>
          <w:p w:rsidR="006A6BB0" w:rsidRPr="006A6BB0" w:rsidRDefault="006A6BB0" w:rsidP="006A6BB0">
            <w:pPr>
              <w:jc w:val="center"/>
              <w:rPr>
                <w:bCs/>
                <w:color w:val="000000" w:themeColor="text1"/>
                <w:szCs w:val="22"/>
              </w:rPr>
            </w:pPr>
            <w:r w:rsidRPr="006A6BB0">
              <w:rPr>
                <w:bCs/>
                <w:color w:val="000000" w:themeColor="text1"/>
                <w:szCs w:val="22"/>
              </w:rPr>
              <w:t>762921,53</w:t>
            </w:r>
          </w:p>
        </w:tc>
        <w:tc>
          <w:tcPr>
            <w:tcW w:w="1276" w:type="dxa"/>
            <w:vAlign w:val="center"/>
          </w:tcPr>
          <w:p w:rsidR="006A6BB0" w:rsidRPr="006A6BB0" w:rsidRDefault="006A6BB0" w:rsidP="006A6BB0">
            <w:pPr>
              <w:jc w:val="center"/>
              <w:rPr>
                <w:bCs/>
                <w:color w:val="000000" w:themeColor="text1"/>
                <w:szCs w:val="22"/>
              </w:rPr>
            </w:pPr>
            <w:r w:rsidRPr="006A6BB0">
              <w:rPr>
                <w:bCs/>
                <w:color w:val="000000" w:themeColor="text1"/>
                <w:szCs w:val="22"/>
              </w:rPr>
              <w:t>762921,53</w:t>
            </w:r>
          </w:p>
        </w:tc>
        <w:tc>
          <w:tcPr>
            <w:tcW w:w="1133" w:type="dxa"/>
            <w:vAlign w:val="center"/>
          </w:tcPr>
          <w:p w:rsidR="006A6BB0" w:rsidRPr="006A6BB0" w:rsidRDefault="006A6BB0" w:rsidP="006A6BB0">
            <w:pPr>
              <w:jc w:val="center"/>
              <w:rPr>
                <w:bCs/>
                <w:color w:val="FF0000"/>
                <w:szCs w:val="22"/>
              </w:rPr>
            </w:pPr>
            <w:r w:rsidRPr="006A6BB0">
              <w:rPr>
                <w:bCs/>
                <w:color w:val="000000" w:themeColor="text1"/>
                <w:szCs w:val="22"/>
              </w:rPr>
              <w:t>790319,67</w:t>
            </w:r>
          </w:p>
        </w:tc>
      </w:tr>
    </w:tbl>
    <w:p w:rsidR="006A6BB0" w:rsidRPr="006A6BB0" w:rsidRDefault="006A6BB0" w:rsidP="006A6BB0">
      <w:pPr>
        <w:spacing w:after="0" w:line="240" w:lineRule="auto"/>
        <w:ind w:firstLine="709"/>
        <w:jc w:val="both"/>
        <w:rPr>
          <w:rFonts w:ascii="Times New Roman" w:hAnsi="Times New Roman" w:cs="Times New Roman"/>
          <w:bCs/>
          <w:kern w:val="32"/>
          <w:sz w:val="14"/>
          <w:szCs w:val="28"/>
        </w:rPr>
      </w:pPr>
    </w:p>
    <w:p w:rsidR="006A6BB0" w:rsidRPr="006A6BB0" w:rsidRDefault="006A6BB0" w:rsidP="006A6BB0">
      <w:pPr>
        <w:spacing w:after="0" w:line="240" w:lineRule="auto"/>
        <w:ind w:firstLine="709"/>
        <w:jc w:val="right"/>
        <w:rPr>
          <w:rFonts w:ascii="Times New Roman" w:hAnsi="Times New Roman" w:cs="Times New Roman"/>
          <w:bCs/>
          <w:kern w:val="32"/>
          <w:sz w:val="28"/>
          <w:szCs w:val="28"/>
        </w:rPr>
      </w:pPr>
      <w:bookmarkStart w:id="0" w:name="_GoBack"/>
      <w:bookmarkEnd w:id="0"/>
      <w:r w:rsidRPr="006A6BB0">
        <w:rPr>
          <w:rFonts w:ascii="Times New Roman" w:hAnsi="Times New Roman" w:cs="Times New Roman"/>
          <w:bCs/>
          <w:kern w:val="32"/>
          <w:sz w:val="28"/>
          <w:szCs w:val="28"/>
        </w:rPr>
        <w:t>».</w:t>
      </w:r>
    </w:p>
    <w:p w:rsidR="006D1925" w:rsidRPr="006A6BB0" w:rsidRDefault="006A6BB0" w:rsidP="006A6BB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6A6BB0">
        <w:rPr>
          <w:rFonts w:ascii="Times New Roman" w:hAnsi="Times New Roman" w:cs="Times New Roman"/>
          <w:bCs/>
          <w:kern w:val="32"/>
          <w:sz w:val="28"/>
          <w:szCs w:val="28"/>
        </w:rPr>
        <w:t>1.2. Приложение № 2 в новой редакции</w:t>
      </w:r>
      <w:r w:rsidR="006D1925" w:rsidRPr="006A6BB0">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w:t>
      </w:r>
      <w:r w:rsidRPr="00F62605">
        <w:rPr>
          <w:rFonts w:ascii="Times New Roman" w:hAnsi="Times New Roman" w:cs="Times New Roman"/>
          <w:sz w:val="28"/>
          <w:szCs w:val="28"/>
        </w:rPr>
        <w:lastRenderedPageBreak/>
        <w:t>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A6B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55FCE"/>
    <w:rsid w:val="002B2B6C"/>
    <w:rsid w:val="0030045C"/>
    <w:rsid w:val="00336D94"/>
    <w:rsid w:val="003517C2"/>
    <w:rsid w:val="00394B3A"/>
    <w:rsid w:val="00435490"/>
    <w:rsid w:val="0046004A"/>
    <w:rsid w:val="00495A0F"/>
    <w:rsid w:val="0060665C"/>
    <w:rsid w:val="006701BF"/>
    <w:rsid w:val="006A6BB0"/>
    <w:rsid w:val="006D1925"/>
    <w:rsid w:val="007C5EB9"/>
    <w:rsid w:val="00815957"/>
    <w:rsid w:val="00830A35"/>
    <w:rsid w:val="00862BA7"/>
    <w:rsid w:val="009658F5"/>
    <w:rsid w:val="009841B7"/>
    <w:rsid w:val="009B309C"/>
    <w:rsid w:val="009E6C1B"/>
    <w:rsid w:val="00A024CC"/>
    <w:rsid w:val="00A02D0A"/>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5E6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2018-11-22T10:13:00Z</dcterms:modified>
</cp:coreProperties>
</file>