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</w:tblBorders>
        <w:tblLayout w:type="fixed"/>
      </w:tblPr>
      <w:tblGrid>
        <w:gridCol w:w="5382"/>
        <w:gridCol w:w="5103"/>
      </w:tblGrid>
      <w:tr>
        <w:trPr>
          <w:trHeight w:hRule="atLeast" w:val="4952"/>
        </w:trPr>
        <w:tc>
          <w:tcPr>
            <w:tcW w:type="dxa" w:w="5382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00000">
            <w:pPr>
              <w:keepNext w:val="1"/>
              <w:ind/>
              <w:jc w:val="center"/>
              <w:rPr>
                <w:sz w:val="27"/>
              </w:rPr>
            </w:pPr>
          </w:p>
          <w:p w14:paraId="02000000">
            <w:pPr>
              <w:keepNext w:val="1"/>
              <w:ind w:right="-108"/>
              <w:jc w:val="center"/>
              <w:rPr>
                <w:sz w:val="27"/>
              </w:rPr>
            </w:pPr>
            <w:r>
              <w:rPr>
                <w:sz w:val="27"/>
              </w:rPr>
              <w:drawing>
                <wp:inline>
                  <wp:extent cx="467994" cy="611505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467994" cy="61150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3000000">
            <w:pPr>
              <w:keepNext w:val="1"/>
              <w:ind w:right="-108"/>
              <w:jc w:val="center"/>
              <w:rPr>
                <w:b w:val="1"/>
                <w:sz w:val="27"/>
              </w:rPr>
            </w:pPr>
          </w:p>
          <w:p w14:paraId="04000000">
            <w:pPr>
              <w:keepNext w:val="1"/>
              <w:ind w:right="-108"/>
              <w:jc w:val="center"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РЕГИОНАЛЬНАЯ ЭНЕРГЕТИЧЕСКАЯ</w:t>
            </w:r>
          </w:p>
          <w:p w14:paraId="05000000">
            <w:pPr>
              <w:keepNext w:val="1"/>
              <w:ind w:right="-108"/>
              <w:jc w:val="center"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КОМИССИЯ КУЗБАССА</w:t>
            </w:r>
          </w:p>
          <w:p w14:paraId="06000000">
            <w:pPr>
              <w:keepNext w:val="1"/>
              <w:ind w:right="-108"/>
              <w:jc w:val="center"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(РЭК Кузбасса)</w:t>
            </w:r>
          </w:p>
          <w:p w14:paraId="07000000">
            <w:pPr>
              <w:keepNext w:val="1"/>
              <w:ind w:right="-108"/>
              <w:jc w:val="center"/>
              <w:rPr>
                <w:sz w:val="27"/>
              </w:rPr>
            </w:pPr>
          </w:p>
          <w:p w14:paraId="08000000">
            <w:pPr>
              <w:keepNext w:val="1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Н. Островского, ул. д.32, г. Кемерово, 650000</w:t>
            </w:r>
          </w:p>
          <w:p w14:paraId="09000000">
            <w:pPr>
              <w:keepNext w:val="1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Телефон/факс: (3842) 36-28-28</w:t>
            </w:r>
          </w:p>
          <w:p w14:paraId="0A000000">
            <w:pPr>
              <w:keepNext w:val="1"/>
              <w:ind w:right="-108"/>
              <w:jc w:val="center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e-mail</w:t>
            </w:r>
            <w:r>
              <w:rPr>
                <w:sz w:val="22"/>
              </w:rPr>
              <w:t xml:space="preserve">: </w:t>
            </w:r>
            <w:r>
              <w:rPr>
                <w:rStyle w:val="Style_2_ch"/>
                <w:sz w:val="22"/>
              </w:rPr>
              <w:fldChar w:fldCharType="begin"/>
            </w:r>
            <w:r>
              <w:rPr>
                <w:rStyle w:val="Style_2_ch"/>
                <w:sz w:val="22"/>
              </w:rPr>
              <w:instrText>HYPERLINK "mailto:delo@recko.ru"</w:instrText>
            </w:r>
            <w:r>
              <w:rPr>
                <w:rStyle w:val="Style_2_ch"/>
                <w:sz w:val="22"/>
              </w:rPr>
              <w:fldChar w:fldCharType="separate"/>
            </w:r>
            <w:r>
              <w:rPr>
                <w:rStyle w:val="Style_2_ch"/>
                <w:sz w:val="22"/>
              </w:rPr>
              <w:t>delo@recko.ru</w:t>
            </w:r>
            <w:r>
              <w:rPr>
                <w:rStyle w:val="Style_2_ch"/>
                <w:sz w:val="22"/>
              </w:rPr>
              <w:fldChar w:fldCharType="end"/>
            </w:r>
          </w:p>
          <w:p w14:paraId="0B000000">
            <w:pPr>
              <w:keepNext w:val="1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>HYPERLINK "http://kemoblast.ru"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http://</w:t>
            </w:r>
            <w:r>
              <w:rPr>
                <w:sz w:val="22"/>
              </w:rPr>
              <w:fldChar w:fldCharType="end"/>
            </w:r>
            <w:r>
              <w:rPr>
                <w:rStyle w:val="Style_2_ch"/>
                <w:sz w:val="22"/>
              </w:rPr>
              <w:fldChar w:fldCharType="begin"/>
            </w:r>
            <w:r>
              <w:rPr>
                <w:rStyle w:val="Style_2_ch"/>
                <w:sz w:val="22"/>
              </w:rPr>
              <w:instrText>HYPERLINK "http://www.recko.ru"</w:instrText>
            </w:r>
            <w:r>
              <w:rPr>
                <w:rStyle w:val="Style_2_ch"/>
                <w:sz w:val="22"/>
              </w:rPr>
              <w:fldChar w:fldCharType="separate"/>
            </w:r>
            <w:r>
              <w:rPr>
                <w:rStyle w:val="Style_2_ch"/>
                <w:sz w:val="22"/>
              </w:rPr>
              <w:t>www.recko.ru</w:t>
            </w:r>
            <w:r>
              <w:rPr>
                <w:rStyle w:val="Style_2_ch"/>
                <w:sz w:val="22"/>
              </w:rPr>
              <w:fldChar w:fldCharType="end"/>
            </w:r>
          </w:p>
          <w:p w14:paraId="0C000000">
            <w:pPr>
              <w:keepNext w:val="1"/>
              <w:ind/>
              <w:rPr>
                <w:sz w:val="27"/>
              </w:rPr>
            </w:pPr>
            <w:r>
              <w:rPr>
                <w:sz w:val="27"/>
              </w:rPr>
              <w:t xml:space="preserve">    </w:t>
            </w:r>
          </w:p>
          <w:p w14:paraId="0D000000">
            <w:pPr>
              <w:keepNext w:val="1"/>
              <w:ind w:firstLine="731" w:left="0"/>
              <w:rPr>
                <w:sz w:val="28"/>
                <w:u w:val="single"/>
              </w:rPr>
            </w:pPr>
          </w:p>
          <w:p w14:paraId="0E000000">
            <w:pPr>
              <w:keepNext w:val="1"/>
              <w:ind/>
              <w:jc w:val="center"/>
              <w:rPr>
                <w:sz w:val="27"/>
              </w:rPr>
            </w:pPr>
          </w:p>
          <w:p w14:paraId="0F000000">
            <w:pPr>
              <w:keepNext w:val="1"/>
              <w:ind/>
              <w:rPr>
                <w:sz w:val="27"/>
              </w:rPr>
            </w:pPr>
          </w:p>
        </w:tc>
        <w:tc>
          <w:tcPr>
            <w:tcW w:type="dxa" w:w="5103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keepNext w:val="1"/>
              <w:ind/>
              <w:jc w:val="center"/>
              <w:rPr>
                <w:sz w:val="27"/>
              </w:rPr>
            </w:pPr>
          </w:p>
          <w:p w14:paraId="11000000">
            <w:pPr>
              <w:keepNext w:val="1"/>
              <w:ind/>
              <w:jc w:val="center"/>
              <w:rPr>
                <w:sz w:val="27"/>
              </w:rPr>
            </w:pPr>
          </w:p>
          <w:p w14:paraId="12000000">
            <w:pPr>
              <w:keepNext w:val="1"/>
              <w:ind/>
              <w:jc w:val="center"/>
              <w:rPr>
                <w:sz w:val="27"/>
              </w:rPr>
            </w:pPr>
          </w:p>
          <w:p w14:paraId="13000000">
            <w:pPr>
              <w:keepNext w:val="1"/>
              <w:ind/>
              <w:jc w:val="center"/>
              <w:rPr>
                <w:sz w:val="27"/>
              </w:rPr>
            </w:pPr>
          </w:p>
          <w:p w14:paraId="14000000">
            <w:pPr>
              <w:keepNext w:val="1"/>
              <w:ind/>
              <w:jc w:val="center"/>
              <w:rPr>
                <w:sz w:val="27"/>
              </w:rPr>
            </w:pPr>
          </w:p>
          <w:p w14:paraId="15000000">
            <w:pPr>
              <w:keepNext w:val="1"/>
              <w:ind/>
              <w:jc w:val="center"/>
              <w:rPr>
                <w:sz w:val="27"/>
              </w:rPr>
            </w:pPr>
          </w:p>
          <w:p w14:paraId="16000000">
            <w:pPr>
              <w:keepNext w:val="1"/>
              <w:ind/>
              <w:jc w:val="center"/>
              <w:rPr>
                <w:sz w:val="27"/>
              </w:rPr>
            </w:pPr>
          </w:p>
        </w:tc>
      </w:tr>
    </w:tbl>
    <w:p w14:paraId="17000000">
      <w:pPr>
        <w:keepNext w:val="1"/>
        <w:spacing w:before="120"/>
        <w:ind/>
        <w:jc w:val="center"/>
        <w:rPr>
          <w:rFonts w:ascii="Times New Roman" w:hAnsi="Times New Roman"/>
          <w:caps w:val="1"/>
          <w:sz w:val="28"/>
        </w:rPr>
      </w:pPr>
      <w:bookmarkStart w:id="1" w:name="_Hlk157158450"/>
      <w:bookmarkEnd w:id="1"/>
    </w:p>
    <w:p w14:paraId="18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Сведения, о категориях лиц, относящихся с 1 января 2025 года к потребителям услуг по передаче электрической энергии, которые должны оказываться системообразующей территориальной сетевой </w:t>
      </w:r>
      <w:r>
        <w:rPr>
          <w:rFonts w:ascii="Times New Roman" w:hAnsi="Times New Roman"/>
          <w:b w:val="1"/>
          <w:sz w:val="28"/>
        </w:rPr>
        <w:t>организацией</w:t>
      </w:r>
    </w:p>
    <w:p w14:paraId="19000000">
      <w:pPr>
        <w:rPr>
          <w:rFonts w:ascii="Times New Roman" w:hAnsi="Times New Roman"/>
          <w:sz w:val="28"/>
        </w:rPr>
      </w:pPr>
    </w:p>
    <w:p w14:paraId="1A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13.07.2024 № 185-ФЗ «О внесении изменений в Федеральный закон «Об электроэнергетике» и отдельные законодательные акты Российской Федерации», постановлением Правительства РФ от 31.08.2024 № 1195 «О внесении изменений в некоторые акты Правительства Российской Федерации» с 1 января 2025 года потребителями услуг по передаче электрической энергии, которые должны оказываться системообразующей территориальной сетевой организацией, являются:</w:t>
      </w:r>
    </w:p>
    <w:p w14:paraId="1B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территориальные сетевые организации (за исключением тех, которые соответствуют установленным Правительством Российской Федерации критериям отнесения территориальных сетевых организаций к сетевым организациям, обслуживающим преимущественно одного потребителя; за исключением территориальных сетевых организаций на территориях, технологически не связанных с Единой энергетической системой России, технологически изолированными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территориальными </w:t>
      </w:r>
      <w:r>
        <w:rPr>
          <w:rFonts w:ascii="Times New Roman" w:hAnsi="Times New Roman"/>
          <w:sz w:val="28"/>
        </w:rPr>
        <w:t>электроэнергетическими системами, а также на территориях технологически изолированных территориальных электроэнергетических систем, если их границы не совпадают с границами. субъекта Российской Федерации, в пределах которого такие системы находятся);</w:t>
      </w:r>
    </w:p>
    <w:p w14:paraId="1C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энергоснабжающие организации, энергосбытовые организации, гарантирующие поставщики в интересах обслуживаемых ими потребителей электрической энергии (в отношении точек поставки каждого потребителя</w:t>
      </w:r>
      <w:r>
        <w:rPr>
          <w:sz w:val="28"/>
        </w:rPr>
        <w:t xml:space="preserve"> электрической энергии, обслуживаемого энергосбытовой организацией, гарантирующим поставщиком);</w:t>
      </w:r>
    </w:p>
    <w:p w14:paraId="1D000000">
      <w:pPr>
        <w:ind w:firstLine="567" w:left="0"/>
        <w:jc w:val="both"/>
        <w:rPr>
          <w:sz w:val="28"/>
        </w:rPr>
      </w:pPr>
      <w:r>
        <w:rPr>
          <w:sz w:val="28"/>
        </w:rPr>
        <w:t xml:space="preserve"> лица, владеющие на праве собственности или на ином законном основании объектами по производству электрической энергии (мощности) (с учетом положений пункта 49 Правил недискриминационного доступа к услугам по передаче электрической энергии и оказания этих услуг, утвержденных постановлением Правительства РФ от 27.12.2004 № 861) в отношении объектов по производству электрической энергии (мощности) при приобретении ими электрической энергии (мощности) для собственных и хозяйственных нужд электростанций.</w:t>
      </w:r>
    </w:p>
    <w:p w14:paraId="1E000000">
      <w:pPr>
        <w:ind/>
        <w:jc w:val="both"/>
        <w:rPr>
          <w:sz w:val="22"/>
        </w:rPr>
      </w:pPr>
    </w:p>
    <w:p w14:paraId="1F000000">
      <w:pPr>
        <w:ind/>
        <w:jc w:val="both"/>
        <w:rPr>
          <w:sz w:val="22"/>
        </w:rPr>
      </w:pPr>
    </w:p>
    <w:p w14:paraId="20000000">
      <w:pPr>
        <w:rPr>
          <w:sz w:val="22"/>
        </w:rPr>
      </w:pPr>
    </w:p>
    <w:p w14:paraId="21000000">
      <w:pPr>
        <w:rPr>
          <w:sz w:val="22"/>
        </w:rPr>
      </w:pPr>
    </w:p>
    <w:p w14:paraId="22000000">
      <w:pPr>
        <w:rPr>
          <w:sz w:val="22"/>
        </w:rPr>
      </w:pPr>
    </w:p>
    <w:p w14:paraId="23000000">
      <w:pPr>
        <w:rPr>
          <w:sz w:val="22"/>
        </w:rPr>
      </w:pPr>
    </w:p>
    <w:p w14:paraId="24000000">
      <w:pPr>
        <w:rPr>
          <w:sz w:val="22"/>
        </w:rPr>
      </w:pPr>
    </w:p>
    <w:p w14:paraId="25000000">
      <w:pPr>
        <w:rPr>
          <w:sz w:val="22"/>
        </w:rPr>
      </w:pPr>
    </w:p>
    <w:p w14:paraId="26000000">
      <w:pPr>
        <w:rPr>
          <w:sz w:val="22"/>
        </w:rPr>
      </w:pPr>
    </w:p>
    <w:p w14:paraId="27000000">
      <w:pPr>
        <w:rPr>
          <w:sz w:val="22"/>
        </w:rPr>
      </w:pPr>
    </w:p>
    <w:p w14:paraId="28000000">
      <w:pPr>
        <w:rPr>
          <w:sz w:val="22"/>
        </w:rPr>
      </w:pPr>
    </w:p>
    <w:p w14:paraId="29000000">
      <w:pPr>
        <w:rPr>
          <w:sz w:val="22"/>
        </w:rPr>
      </w:pPr>
    </w:p>
    <w:p w14:paraId="2A000000">
      <w:pPr>
        <w:rPr>
          <w:sz w:val="22"/>
        </w:rPr>
      </w:pPr>
    </w:p>
    <w:p w14:paraId="2B000000">
      <w:pPr>
        <w:rPr>
          <w:sz w:val="22"/>
        </w:rPr>
      </w:pPr>
    </w:p>
    <w:p w14:paraId="2C000000">
      <w:pPr>
        <w:rPr>
          <w:sz w:val="22"/>
        </w:rPr>
      </w:pPr>
    </w:p>
    <w:p w14:paraId="2D000000">
      <w:pPr>
        <w:rPr>
          <w:sz w:val="22"/>
        </w:rPr>
      </w:pPr>
    </w:p>
    <w:p w14:paraId="2E000000">
      <w:pPr>
        <w:rPr>
          <w:sz w:val="22"/>
        </w:rPr>
      </w:pPr>
    </w:p>
    <w:p w14:paraId="2F000000">
      <w:pPr>
        <w:rPr>
          <w:sz w:val="22"/>
        </w:rPr>
      </w:pPr>
    </w:p>
    <w:p w14:paraId="30000000">
      <w:pPr>
        <w:rPr>
          <w:sz w:val="22"/>
        </w:rPr>
      </w:pPr>
    </w:p>
    <w:p w14:paraId="31000000">
      <w:pPr>
        <w:rPr>
          <w:sz w:val="22"/>
        </w:rPr>
      </w:pPr>
    </w:p>
    <w:p w14:paraId="32000000">
      <w:pPr>
        <w:rPr>
          <w:sz w:val="22"/>
        </w:rPr>
      </w:pPr>
    </w:p>
    <w:p w14:paraId="33000000">
      <w:pPr>
        <w:rPr>
          <w:sz w:val="22"/>
        </w:rPr>
      </w:pPr>
    </w:p>
    <w:p w14:paraId="34000000">
      <w:pPr>
        <w:rPr>
          <w:sz w:val="22"/>
        </w:rPr>
      </w:pPr>
    </w:p>
    <w:p w14:paraId="35000000">
      <w:pPr>
        <w:rPr>
          <w:sz w:val="22"/>
        </w:rPr>
      </w:pPr>
    </w:p>
    <w:p w14:paraId="36000000">
      <w:pPr>
        <w:rPr>
          <w:sz w:val="22"/>
        </w:rPr>
      </w:pPr>
    </w:p>
    <w:p w14:paraId="37000000">
      <w:pPr>
        <w:rPr>
          <w:sz w:val="22"/>
        </w:rPr>
      </w:pPr>
    </w:p>
    <w:p w14:paraId="38000000">
      <w:pPr>
        <w:rPr>
          <w:sz w:val="22"/>
        </w:rPr>
      </w:pPr>
    </w:p>
    <w:p w14:paraId="39000000">
      <w:pPr>
        <w:rPr>
          <w:sz w:val="22"/>
        </w:rPr>
      </w:pPr>
    </w:p>
    <w:p w14:paraId="3A000000">
      <w:pPr>
        <w:rPr>
          <w:sz w:val="22"/>
        </w:rPr>
      </w:pPr>
    </w:p>
    <w:sectPr>
      <w:pgSz w:h="16848" w:orient="portrait" w:w="11908"/>
      <w:pgMar w:bottom="850" w:footer="709" w:gutter="0" w:header="709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List Paragraph"/>
    <w:basedOn w:val="Style_3"/>
    <w:link w:val="Style_6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6_ch" w:type="character">
    <w:name w:val="List Paragraph"/>
    <w:basedOn w:val="Style_3_ch"/>
    <w:link w:val="Style_6"/>
    <w:rPr>
      <w:rFonts w:ascii="Calibri" w:hAnsi="Calibri"/>
      <w:sz w:val="22"/>
    </w:rPr>
  </w:style>
  <w:style w:styleId="Style_7" w:type="paragraph">
    <w:name w:val="toc 6"/>
    <w:next w:val="Style_3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</w:rPr>
  </w:style>
  <w:style w:styleId="Style_9_ch" w:type="character">
    <w:name w:val="Endnote"/>
    <w:link w:val="Style_9"/>
    <w:rPr>
      <w:rFonts w:ascii="XO Thames" w:hAnsi="XO Thames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Обычный1"/>
    <w:link w:val="Style_11_ch"/>
    <w:rPr>
      <w:rFonts w:ascii="Times New Roman" w:hAnsi="Times New Roman"/>
      <w:sz w:val="24"/>
    </w:rPr>
  </w:style>
  <w:style w:styleId="Style_11_ch" w:type="character">
    <w:name w:val="Обычный1"/>
    <w:link w:val="Style_11"/>
    <w:rPr>
      <w:rFonts w:ascii="Times New Roman" w:hAnsi="Times New Roman"/>
      <w:sz w:val="24"/>
    </w:rPr>
  </w:style>
  <w:style w:styleId="Style_12" w:type="paragraph">
    <w:name w:val="toc 3"/>
    <w:next w:val="Style_3"/>
    <w:link w:val="Style_12_ch"/>
    <w:uiPriority w:val="39"/>
    <w:pPr>
      <w:ind w:firstLine="0"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</w:rPr>
  </w:style>
  <w:style w:styleId="Style_18_ch" w:type="character">
    <w:name w:val="Footnote"/>
    <w:link w:val="Style_18"/>
    <w:rPr>
      <w:rFonts w:ascii="XO Thames" w:hAnsi="XO Thames"/>
    </w:rPr>
  </w:style>
  <w:style w:styleId="Style_19" w:type="paragraph">
    <w:name w:val="toc 1"/>
    <w:next w:val="Style_3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3"/>
    <w:link w:val="Style_21_ch"/>
    <w:uiPriority w:val="39"/>
    <w:pPr>
      <w:ind w:firstLine="0" w:left="1600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3"/>
    <w:link w:val="Style_22_ch"/>
    <w:uiPriority w:val="39"/>
    <w:pPr>
      <w:ind w:firstLine="0" w:left="1400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Неразрешенное упоминание1"/>
    <w:basedOn w:val="Style_13"/>
    <w:link w:val="Style_23_ch"/>
    <w:rPr>
      <w:color w:val="605E5C"/>
      <w:shd w:fill="E1DFDD" w:val="clear"/>
    </w:rPr>
  </w:style>
  <w:style w:styleId="Style_23_ch" w:type="character">
    <w:name w:val="Неразрешенное упоминание1"/>
    <w:basedOn w:val="Style_13_ch"/>
    <w:link w:val="Style_23"/>
    <w:rPr>
      <w:color w:val="605E5C"/>
      <w:shd w:fill="E1DFDD" w:val="clear"/>
    </w:rPr>
  </w:style>
  <w:style w:styleId="Style_24" w:type="paragraph">
    <w:name w:val="toc 5"/>
    <w:next w:val="Style_3"/>
    <w:link w:val="Style_24_ch"/>
    <w:uiPriority w:val="39"/>
    <w:pPr>
      <w:ind w:firstLine="0"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3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3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3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" w:type="paragraph">
    <w:name w:val="Гиперссылка1"/>
    <w:basedOn w:val="Style_13"/>
    <w:link w:val="Style_2_ch"/>
    <w:rPr>
      <w:color w:themeColor="hyperlink" w:val="0563C1"/>
      <w:u w:val="single"/>
    </w:rPr>
  </w:style>
  <w:style w:styleId="Style_2_ch" w:type="character">
    <w:name w:val="Гиперссылка1"/>
    <w:basedOn w:val="Style_13_ch"/>
    <w:link w:val="Style_2"/>
    <w:rPr>
      <w:color w:themeColor="hyperlink" w:val="0563C1"/>
      <w:u w:val="single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2024-09-12T08:42:17Z</dcterms:modified>
</cp:coreProperties>
</file>